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r>
        <mc:AlternateContent>
          <mc:Choice Requires="wps">
            <w:drawing>
              <wp:anchor behindDoc="0" distT="0" distB="0" distL="0" distR="0" simplePos="0" locked="0" layoutInCell="1" allowOverlap="1" relativeHeight="38">
                <wp:simplePos x="0" y="0"/>
                <wp:positionH relativeFrom="page">
                  <wp:posOffset>3886200</wp:posOffset>
                </wp:positionH>
                <wp:positionV relativeFrom="page">
                  <wp:posOffset>5233035</wp:posOffset>
                </wp:positionV>
                <wp:extent cx="2828925" cy="659130"/>
                <wp:effectExtent l="0" t="0" r="0" b="0"/>
                <wp:wrapNone/>
                <wp:docPr id="1" name="Frame414"/>
                <a:graphic xmlns:a="http://schemas.openxmlformats.org/drawingml/2006/main">
                  <a:graphicData uri="http://schemas.microsoft.com/office/word/2010/wordprocessingShape">
                    <wps:wsp>
                      <wps:cNvSpPr txBox="1"/>
                      <wps:spPr>
                        <a:xfrm>
                          <a:off x="0" y="0"/>
                          <a:ext cx="2828925" cy="659130"/>
                        </a:xfrm>
                        <a:prstGeom prst="rect"/>
                        <a:solidFill>
                          <a:srgbClr val="FFFFFF"/>
                        </a:solidFill>
                      </wps:spPr>
                      <wps:txbx>
                        <w:txbxContent>
                          <w:tbl>
                            <w:tblPr>
                              <w:tblW w:w="4601" w:type="dxa"/>
                              <w:jc w:val="left"/>
                              <w:tblInd w:w="0" w:type="dxa"/>
                              <w:tblLayout w:type="fixed"/>
                              <w:tblCellMar>
                                <w:top w:w="28" w:type="dxa"/>
                                <w:left w:w="28" w:type="dxa"/>
                                <w:bottom w:w="28" w:type="dxa"/>
                                <w:right w:w="28" w:type="dxa"/>
                              </w:tblCellMar>
                            </w:tblPr>
                            <w:tblGrid>
                              <w:gridCol w:w="4601"/>
                            </w:tblGrid>
                            <w:tr>
                              <w:trPr/>
                              <w:tc>
                                <w:tcPr>
                                  <w:tcW w:w="4601" w:type="dxa"/>
                                  <w:tcBorders/>
                                  <w:vAlign w:val="center"/>
                                </w:tcPr>
                                <w:p>
                                  <w:pPr>
                                    <w:pStyle w:val="TableContents"/>
                                    <w:bidi w:val="0"/>
                                    <w:spacing w:before="0" w:after="283"/>
                                    <w:jc w:val="left"/>
                                    <w:rPr>
                                      <w:sz w:val="4"/>
                                      <w:szCs w:val="4"/>
                                    </w:rPr>
                                  </w:pPr>
                                  <w:r>
                                    <w:rPr>
                                      <w:sz w:val="4"/>
                                      <w:szCs w:val="4"/>
                                    </w:rPr>
                                  </w:r>
                                </w:p>
                              </w:tc>
                            </w:tr>
                            <w:tr>
                              <w:trPr/>
                              <w:tc>
                                <w:tcPr>
                                  <w:tcW w:w="46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2.75pt;height:51.9pt;mso-wrap-distance-left:0pt;mso-wrap-distance-right:0pt;mso-wrap-distance-top:0pt;mso-wrap-distance-bottom:0pt;margin-top:412.05pt;mso-position-vertical-relative:page;margin-left:306pt;mso-position-horizontal-relative:page">
                <v:textbox>
                  <w:txbxContent>
                    <w:tbl>
                      <w:tblPr>
                        <w:tblW w:w="4601" w:type="dxa"/>
                        <w:jc w:val="left"/>
                        <w:tblInd w:w="0" w:type="dxa"/>
                        <w:tblLayout w:type="fixed"/>
                        <w:tblCellMar>
                          <w:top w:w="28" w:type="dxa"/>
                          <w:left w:w="28" w:type="dxa"/>
                          <w:bottom w:w="28" w:type="dxa"/>
                          <w:right w:w="28" w:type="dxa"/>
                        </w:tblCellMar>
                      </w:tblPr>
                      <w:tblGrid>
                        <w:gridCol w:w="4601"/>
                      </w:tblGrid>
                      <w:tr>
                        <w:trPr/>
                        <w:tc>
                          <w:tcPr>
                            <w:tcW w:w="4601" w:type="dxa"/>
                            <w:tcBorders/>
                            <w:vAlign w:val="center"/>
                          </w:tcPr>
                          <w:p>
                            <w:pPr>
                              <w:pStyle w:val="TableContents"/>
                              <w:bidi w:val="0"/>
                              <w:spacing w:before="0" w:after="283"/>
                              <w:jc w:val="left"/>
                              <w:rPr>
                                <w:sz w:val="4"/>
                                <w:szCs w:val="4"/>
                              </w:rPr>
                            </w:pPr>
                            <w:r>
                              <w:rPr>
                                <w:sz w:val="4"/>
                                <w:szCs w:val="4"/>
                              </w:rPr>
                            </w:r>
                          </w:p>
                        </w:tc>
                      </w:tr>
                      <w:tr>
                        <w:trPr/>
                        <w:tc>
                          <w:tcPr>
                            <w:tcW w:w="46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
                <wp:simplePos x="0" y="0"/>
                <wp:positionH relativeFrom="page">
                  <wp:posOffset>3886200</wp:posOffset>
                </wp:positionH>
                <wp:positionV relativeFrom="page">
                  <wp:posOffset>3880485</wp:posOffset>
                </wp:positionV>
                <wp:extent cx="2828925" cy="659130"/>
                <wp:effectExtent l="0" t="0" r="0" b="0"/>
                <wp:wrapNone/>
                <wp:docPr id="2" name="Frame412"/>
                <a:graphic xmlns:a="http://schemas.openxmlformats.org/drawingml/2006/main">
                  <a:graphicData uri="http://schemas.microsoft.com/office/word/2010/wordprocessingShape">
                    <wps:wsp>
                      <wps:cNvSpPr txBox="1"/>
                      <wps:spPr>
                        <a:xfrm>
                          <a:off x="0" y="0"/>
                          <a:ext cx="2828925" cy="659130"/>
                        </a:xfrm>
                        <a:prstGeom prst="rect"/>
                        <a:solidFill>
                          <a:srgbClr val="FFFFFF"/>
                        </a:solidFill>
                      </wps:spPr>
                      <wps:txbx>
                        <w:txbxContent>
                          <w:tbl>
                            <w:tblPr>
                              <w:tblW w:w="4601" w:type="dxa"/>
                              <w:jc w:val="left"/>
                              <w:tblInd w:w="0" w:type="dxa"/>
                              <w:tblLayout w:type="fixed"/>
                              <w:tblCellMar>
                                <w:top w:w="28" w:type="dxa"/>
                                <w:left w:w="28" w:type="dxa"/>
                                <w:bottom w:w="28" w:type="dxa"/>
                                <w:right w:w="28" w:type="dxa"/>
                              </w:tblCellMar>
                            </w:tblPr>
                            <w:tblGrid>
                              <w:gridCol w:w="4601"/>
                            </w:tblGrid>
                            <w:tr>
                              <w:trPr/>
                              <w:tc>
                                <w:tcPr>
                                  <w:tcW w:w="4601" w:type="dxa"/>
                                  <w:tcBorders/>
                                  <w:vAlign w:val="center"/>
                                </w:tcPr>
                                <w:p>
                                  <w:pPr>
                                    <w:pStyle w:val="TableContents"/>
                                    <w:bidi w:val="0"/>
                                    <w:spacing w:before="0" w:after="283"/>
                                    <w:jc w:val="left"/>
                                    <w:rPr>
                                      <w:sz w:val="4"/>
                                      <w:szCs w:val="4"/>
                                    </w:rPr>
                                  </w:pPr>
                                  <w:r>
                                    <w:rPr>
                                      <w:sz w:val="4"/>
                                      <w:szCs w:val="4"/>
                                    </w:rPr>
                                  </w:r>
                                </w:p>
                              </w:tc>
                            </w:tr>
                            <w:tr>
                              <w:trPr/>
                              <w:tc>
                                <w:tcPr>
                                  <w:tcW w:w="46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2.75pt;height:51.9pt;mso-wrap-distance-left:0pt;mso-wrap-distance-right:0pt;mso-wrap-distance-top:0pt;mso-wrap-distance-bottom:0pt;margin-top:305.55pt;mso-position-vertical-relative:page;margin-left:306pt;mso-position-horizontal-relative:page">
                <v:textbox>
                  <w:txbxContent>
                    <w:tbl>
                      <w:tblPr>
                        <w:tblW w:w="4601" w:type="dxa"/>
                        <w:jc w:val="left"/>
                        <w:tblInd w:w="0" w:type="dxa"/>
                        <w:tblLayout w:type="fixed"/>
                        <w:tblCellMar>
                          <w:top w:w="28" w:type="dxa"/>
                          <w:left w:w="28" w:type="dxa"/>
                          <w:bottom w:w="28" w:type="dxa"/>
                          <w:right w:w="28" w:type="dxa"/>
                        </w:tblCellMar>
                      </w:tblPr>
                      <w:tblGrid>
                        <w:gridCol w:w="4601"/>
                      </w:tblGrid>
                      <w:tr>
                        <w:trPr/>
                        <w:tc>
                          <w:tcPr>
                            <w:tcW w:w="4601" w:type="dxa"/>
                            <w:tcBorders/>
                            <w:vAlign w:val="center"/>
                          </w:tcPr>
                          <w:p>
                            <w:pPr>
                              <w:pStyle w:val="TableContents"/>
                              <w:bidi w:val="0"/>
                              <w:spacing w:before="0" w:after="283"/>
                              <w:jc w:val="left"/>
                              <w:rPr>
                                <w:sz w:val="4"/>
                                <w:szCs w:val="4"/>
                              </w:rPr>
                            </w:pPr>
                            <w:r>
                              <w:rPr>
                                <w:sz w:val="4"/>
                                <w:szCs w:val="4"/>
                              </w:rPr>
                            </w:r>
                          </w:p>
                        </w:tc>
                      </w:tr>
                      <w:tr>
                        <w:trPr/>
                        <w:tc>
                          <w:tcPr>
                            <w:tcW w:w="46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
                <wp:simplePos x="0" y="0"/>
                <wp:positionH relativeFrom="page">
                  <wp:posOffset>3886200</wp:posOffset>
                </wp:positionH>
                <wp:positionV relativeFrom="page">
                  <wp:posOffset>2375535</wp:posOffset>
                </wp:positionV>
                <wp:extent cx="2828925" cy="659130"/>
                <wp:effectExtent l="0" t="0" r="0" b="0"/>
                <wp:wrapNone/>
                <wp:docPr id="3" name="Frame410"/>
                <a:graphic xmlns:a="http://schemas.openxmlformats.org/drawingml/2006/main">
                  <a:graphicData uri="http://schemas.microsoft.com/office/word/2010/wordprocessingShape">
                    <wps:wsp>
                      <wps:cNvSpPr txBox="1"/>
                      <wps:spPr>
                        <a:xfrm>
                          <a:off x="0" y="0"/>
                          <a:ext cx="2828925" cy="659130"/>
                        </a:xfrm>
                        <a:prstGeom prst="rect"/>
                        <a:solidFill>
                          <a:srgbClr val="FFFFFF"/>
                        </a:solidFill>
                      </wps:spPr>
                      <wps:txbx>
                        <w:txbxContent>
                          <w:tbl>
                            <w:tblPr>
                              <w:tblW w:w="4601" w:type="dxa"/>
                              <w:jc w:val="left"/>
                              <w:tblInd w:w="0" w:type="dxa"/>
                              <w:tblLayout w:type="fixed"/>
                              <w:tblCellMar>
                                <w:top w:w="28" w:type="dxa"/>
                                <w:left w:w="28" w:type="dxa"/>
                                <w:bottom w:w="28" w:type="dxa"/>
                                <w:right w:w="28" w:type="dxa"/>
                              </w:tblCellMar>
                            </w:tblPr>
                            <w:tblGrid>
                              <w:gridCol w:w="4601"/>
                            </w:tblGrid>
                            <w:tr>
                              <w:trPr/>
                              <w:tc>
                                <w:tcPr>
                                  <w:tcW w:w="4601" w:type="dxa"/>
                                  <w:tcBorders/>
                                  <w:vAlign w:val="center"/>
                                </w:tcPr>
                                <w:p>
                                  <w:pPr>
                                    <w:pStyle w:val="TableContents"/>
                                    <w:bidi w:val="0"/>
                                    <w:spacing w:before="0" w:after="283"/>
                                    <w:jc w:val="left"/>
                                    <w:rPr>
                                      <w:sz w:val="4"/>
                                      <w:szCs w:val="4"/>
                                    </w:rPr>
                                  </w:pPr>
                                  <w:r>
                                    <w:rPr>
                                      <w:sz w:val="4"/>
                                      <w:szCs w:val="4"/>
                                    </w:rPr>
                                  </w:r>
                                </w:p>
                              </w:tc>
                            </w:tr>
                            <w:tr>
                              <w:trPr/>
                              <w:tc>
                                <w:tcPr>
                                  <w:tcW w:w="46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2.75pt;height:51.9pt;mso-wrap-distance-left:0pt;mso-wrap-distance-right:0pt;mso-wrap-distance-top:0pt;mso-wrap-distance-bottom:0pt;margin-top:187.05pt;mso-position-vertical-relative:page;margin-left:306pt;mso-position-horizontal-relative:page">
                <v:textbox>
                  <w:txbxContent>
                    <w:tbl>
                      <w:tblPr>
                        <w:tblW w:w="4601" w:type="dxa"/>
                        <w:jc w:val="left"/>
                        <w:tblInd w:w="0" w:type="dxa"/>
                        <w:tblLayout w:type="fixed"/>
                        <w:tblCellMar>
                          <w:top w:w="28" w:type="dxa"/>
                          <w:left w:w="28" w:type="dxa"/>
                          <w:bottom w:w="28" w:type="dxa"/>
                          <w:right w:w="28" w:type="dxa"/>
                        </w:tblCellMar>
                      </w:tblPr>
                      <w:tblGrid>
                        <w:gridCol w:w="4601"/>
                      </w:tblGrid>
                      <w:tr>
                        <w:trPr/>
                        <w:tc>
                          <w:tcPr>
                            <w:tcW w:w="4601" w:type="dxa"/>
                            <w:tcBorders/>
                            <w:vAlign w:val="center"/>
                          </w:tcPr>
                          <w:p>
                            <w:pPr>
                              <w:pStyle w:val="TableContents"/>
                              <w:bidi w:val="0"/>
                              <w:spacing w:before="0" w:after="283"/>
                              <w:jc w:val="left"/>
                              <w:rPr>
                                <w:sz w:val="4"/>
                                <w:szCs w:val="4"/>
                              </w:rPr>
                            </w:pPr>
                            <w:r>
                              <w:rPr>
                                <w:sz w:val="4"/>
                                <w:szCs w:val="4"/>
                              </w:rPr>
                            </w:r>
                          </w:p>
                        </w:tc>
                      </w:tr>
                      <w:tr>
                        <w:trPr/>
                        <w:tc>
                          <w:tcPr>
                            <w:tcW w:w="46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
                <wp:simplePos x="0" y="0"/>
                <wp:positionH relativeFrom="page">
                  <wp:posOffset>914400</wp:posOffset>
                </wp:positionH>
                <wp:positionV relativeFrom="page">
                  <wp:posOffset>-1809750</wp:posOffset>
                </wp:positionV>
                <wp:extent cx="4762500" cy="2864485"/>
                <wp:effectExtent l="0" t="0" r="0" b="0"/>
                <wp:wrapNone/>
                <wp:docPr id="4" name="Frame406"/>
                <a:graphic xmlns:a="http://schemas.openxmlformats.org/drawingml/2006/main">
                  <a:graphicData uri="http://schemas.microsoft.com/office/word/2010/wordprocessingShape">
                    <wps:wsp>
                      <wps:cNvSpPr txBox="1"/>
                      <wps:spPr>
                        <a:xfrm>
                          <a:off x="0" y="0"/>
                          <a:ext cx="4762500" cy="2864485"/>
                        </a:xfrm>
                        <a:prstGeom prst="rect"/>
                        <a:solidFill>
                          <a:srgbClr val="FFFFFF"/>
                        </a:solidFill>
                      </wps:spPr>
                      <wps:txbx>
                        <w:txbxContent>
                          <w:tbl>
                            <w:tblPr>
                              <w:tblW w:w="605" w:type="dxa"/>
                              <w:jc w:val="left"/>
                              <w:tblInd w:w="0" w:type="dxa"/>
                              <w:tblLayout w:type="fixed"/>
                              <w:tblCellMar>
                                <w:top w:w="28" w:type="dxa"/>
                                <w:left w:w="28" w:type="dxa"/>
                                <w:bottom w:w="28" w:type="dxa"/>
                                <w:right w:w="28"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75pt;height:225.55pt;mso-wrap-distance-left:0pt;mso-wrap-distance-right:0pt;mso-wrap-distance-top:0pt;mso-wrap-distance-bottom:0pt;margin-top:-142.5pt;mso-position-vertical-relative:page;margin-left:72pt;mso-position-horizontal-relative:page">
                <v:textbox>
                  <w:txbxContent>
                    <w:tbl>
                      <w:tblPr>
                        <w:tblW w:w="605" w:type="dxa"/>
                        <w:jc w:val="left"/>
                        <w:tblInd w:w="0" w:type="dxa"/>
                        <w:tblLayout w:type="fixed"/>
                        <w:tblCellMar>
                          <w:top w:w="28" w:type="dxa"/>
                          <w:left w:w="28" w:type="dxa"/>
                          <w:bottom w:w="28" w:type="dxa"/>
                          <w:right w:w="28"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828925" cy="175260"/>
                <wp:effectExtent l="0" t="0" r="0" b="0"/>
                <wp:wrapNone/>
                <wp:docPr id="5" name="Frame415"/>
                <a:graphic xmlns:a="http://schemas.openxmlformats.org/drawingml/2006/main">
                  <a:graphicData uri="http://schemas.microsoft.com/office/word/2010/wordprocessingShape">
                    <wps:wsp>
                      <wps:cNvSpPr txBox="1"/>
                      <wps:spPr>
                        <a:xfrm>
                          <a:off x="0" y="0"/>
                          <a:ext cx="2828925" cy="17526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/s/ Sean Belmont</w:t>
                            </w:r>
                          </w:p>
                        </w:txbxContent>
                      </wps:txbx>
                      <wps:bodyPr anchor="t" lIns="0" tIns="0" rIns="0" bIns="0">
                        <a:noAutofit/>
                      </wps:bodyPr>
                    </wps:wsp>
                  </a:graphicData>
                </a:graphic>
              </wp:anchor>
            </w:drawing>
          </mc:Choice>
          <mc:Fallback>
            <w:pict>
              <v:rect style="position:absolute;rotation:-0;width:2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/s/ Sean Belmont</w:t>
                      </w:r>
                    </w:p>
                  </w:txbxContent>
                </v:textbox>
                <w10:wrap type="none"/>
              </v:rect>
            </w:pict>
          </mc:Fallback>
        </mc:AlternateConten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828925" cy="175260"/>
                <wp:effectExtent l="0" t="0" r="0" b="0"/>
                <wp:wrapNone/>
                <wp:docPr id="6" name="Frame413"/>
                <a:graphic xmlns:a="http://schemas.openxmlformats.org/drawingml/2006/main">
                  <a:graphicData uri="http://schemas.microsoft.com/office/word/2010/wordprocessingShape">
                    <wps:wsp>
                      <wps:cNvSpPr txBox="1"/>
                      <wps:spPr>
                        <a:xfrm>
                          <a:off x="0" y="0"/>
                          <a:ext cx="2828925" cy="17526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/s/ Dan Chen</w:t>
                            </w:r>
                          </w:p>
                        </w:txbxContent>
                      </wps:txbx>
                      <wps:bodyPr anchor="t" lIns="0" tIns="0" rIns="0" bIns="0">
                        <a:noAutofit/>
                      </wps:bodyPr>
                    </wps:wsp>
                  </a:graphicData>
                </a:graphic>
              </wp:anchor>
            </w:drawing>
          </mc:Choice>
          <mc:Fallback>
            <w:pict>
              <v:rect style="position:absolute;rotation:-0;width:2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/s/ Dan Chen</w:t>
                      </w:r>
                    </w:p>
                  </w:txbxContent>
                </v:textbox>
                <w10:wrap type="none"/>
              </v:rect>
            </w:pict>
          </mc:Fallback>
        </mc:AlternateConten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828925" cy="175260"/>
                <wp:effectExtent l="0" t="0" r="0" b="0"/>
                <wp:wrapNone/>
                <wp:docPr id="7" name="Frame411"/>
                <a:graphic xmlns:a="http://schemas.openxmlformats.org/drawingml/2006/main">
                  <a:graphicData uri="http://schemas.microsoft.com/office/word/2010/wordprocessingShape">
                    <wps:wsp>
                      <wps:cNvSpPr txBox="1"/>
                      <wps:spPr>
                        <a:xfrm>
                          <a:off x="0" y="0"/>
                          <a:ext cx="2828925" cy="17526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/s/ Marshall Beard</w:t>
                            </w:r>
                          </w:p>
                        </w:txbxContent>
                      </wps:txbx>
                      <wps:bodyPr anchor="t" lIns="0" tIns="0" rIns="0" bIns="0">
                        <a:noAutofit/>
                      </wps:bodyPr>
                    </wps:wsp>
                  </a:graphicData>
                </a:graphic>
              </wp:anchor>
            </w:drawing>
          </mc:Choice>
          <mc:Fallback>
            <w:pict>
              <v:rect style="position:absolute;rotation:-0;width:2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/s/ Marshall Beard</w:t>
                      </w:r>
                    </w:p>
                  </w:txbxContent>
                </v:textbox>
                <w10:wrap type="none"/>
              </v:rect>
            </w:pict>
          </mc:Fallback>
        </mc:AlternateConten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center"/>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FORM 10-K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(Mark One)</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16"/>
        </w:rPr>
        <w:t>ANNUAL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fiscal year ended December 31, 2025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16"/>
        </w:rPr>
        <w:t>TRANSITION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transition period from to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16"/>
        </w:rPr>
        <w:t>Commission file number</w:t>
      </w:r>
      <w:r>
        <w:rPr>
          <w:color w:val="000000"/>
          <w:shd w:fill="FFFFFF" w:val="clear"/>
        </w:rPr>
        <w:t xml:space="preserve"> </w:t>
      </w:r>
      <w:r>
        <w:rPr>
          <w:rFonts w:ascii="Times New Roman;serif" w:hAnsi="Times New Roman;serif"/>
          <w:b/>
          <w:color w:val="000000"/>
          <w:sz w:val="16"/>
          <w:shd w:fill="FFFFFF" w:val="clear"/>
        </w:rPr>
        <w:t>001-42836</w:t>
      </w:r>
    </w:p>
    <w:p>
      <w:pPr>
        <w:pStyle w:val="TextBody"/>
        <w:bidi w:val="0"/>
        <w:spacing w:lineRule="auto" w:line="417" w:before="0" w:after="0"/>
        <w:jc w:val="center"/>
        <w:rPr>
          <w:rFonts w:ascii="Times New Roman;serif" w:hAnsi="Times New Roman;serif"/>
          <w:b/>
          <w:color w:val="000000"/>
          <w:sz w:val="26"/>
        </w:rPr>
      </w:pPr>
      <w:r>
        <w:rPr>
          <w:rFonts w:ascii="Times New Roman;serif" w:hAnsi="Times New Roman;serif"/>
          <w:b/>
          <w:color w:val="000000"/>
          <w:sz w:val="26"/>
        </w:rPr>
        <w:t>______________________________</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Gemini Space Station,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417" w:before="0" w:after="120"/>
        <w:jc w:val="center"/>
        <w:rPr>
          <w:rFonts w:ascii="Times New Roman;serif" w:hAnsi="Times New Roman;serif"/>
          <w:b/>
          <w:color w:val="000000"/>
          <w:sz w:val="26"/>
        </w:rPr>
      </w:pPr>
      <w:r>
        <w:rPr>
          <w:rFonts w:ascii="Times New Roman;serif" w:hAnsi="Times New Roman;serif"/>
          <w:b/>
          <w:color w:val="000000"/>
          <w:sz w:val="26"/>
        </w:rPr>
        <w:t>______________________________</w:t>
      </w:r>
    </w:p>
    <w:tbl>
      <w:tblPr>
        <w:tblW w:w="8682" w:type="dxa"/>
        <w:jc w:val="left"/>
        <w:tblInd w:w="0" w:type="dxa"/>
        <w:tblLayout w:type="fixed"/>
        <w:tblCellMar>
          <w:top w:w="28" w:type="dxa"/>
          <w:left w:w="28" w:type="dxa"/>
          <w:bottom w:w="28" w:type="dxa"/>
          <w:right w:w="28" w:type="dxa"/>
        </w:tblCellMar>
      </w:tblPr>
      <w:tblGrid>
        <w:gridCol w:w="1799"/>
        <w:gridCol w:w="1581"/>
        <w:gridCol w:w="1585"/>
        <w:gridCol w:w="109"/>
        <w:gridCol w:w="109"/>
        <w:gridCol w:w="109"/>
        <w:gridCol w:w="992"/>
        <w:gridCol w:w="992"/>
        <w:gridCol w:w="1406"/>
      </w:tblGrid>
      <w:tr>
        <w:trPr/>
        <w:tc>
          <w:tcPr>
            <w:tcW w:w="179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Nevada</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33-3263417</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600 Third Avenue</w:t>
            </w:r>
            <w:r>
              <w:rPr>
                <w:rFonts w:ascii="Times New Roman;serif" w:hAnsi="Times New Roman;serif"/>
                <w:b w:val="false"/>
                <w:color w:val="000000"/>
                <w:sz w:val="20"/>
              </w:rPr>
              <w:t xml:space="preserve">, </w:t>
            </w:r>
            <w:r>
              <w:rPr>
                <w:rFonts w:ascii="Times New Roman;serif" w:hAnsi="Times New Roman;serif"/>
                <w:b/>
                <w:color w:val="000000"/>
                <w:sz w:val="20"/>
              </w:rPr>
              <w:t>2nd Floor</w:t>
            </w:r>
            <w:r>
              <w:rPr>
                <w:rFonts w:ascii="Times New Roman;serif" w:hAnsi="Times New Roman;serif"/>
                <w:b w:val="false"/>
                <w:color w:val="000000"/>
                <w:sz w:val="20"/>
              </w:rPr>
              <w:t xml:space="preserve">, </w:t>
            </w:r>
            <w:r>
              <w:rPr>
                <w:rFonts w:ascii="Times New Roman;serif" w:hAnsi="Times New Roman;serif"/>
                <w:b/>
                <w:color w:val="000000"/>
                <w:sz w:val="20"/>
              </w:rPr>
              <w:t>New York</w:t>
            </w:r>
            <w:r>
              <w:rPr>
                <w:rFonts w:ascii="Times New Roman;serif" w:hAnsi="Times New Roman;serif"/>
                <w:b w:val="false"/>
                <w:color w:val="000000"/>
                <w:sz w:val="20"/>
              </w:rPr>
              <w:t xml:space="preserve">, </w:t>
            </w:r>
            <w:r>
              <w:rPr>
                <w:rFonts w:ascii="Times New Roman;serif" w:hAnsi="Times New Roman;serif"/>
                <w:b/>
                <w:color w:val="000000"/>
                <w:sz w:val="20"/>
              </w:rPr>
              <w:t xml:space="preserve">NY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10016</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86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(646) 751-4401</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tbl>
      <w:tblPr>
        <w:tblW w:w="10205" w:type="dxa"/>
        <w:jc w:val="left"/>
        <w:tblInd w:w="0" w:type="dxa"/>
        <w:tblLayout w:type="fixed"/>
        <w:tblCellMar>
          <w:top w:w="28" w:type="dxa"/>
          <w:left w:w="28" w:type="dxa"/>
          <w:bottom w:w="28" w:type="dxa"/>
          <w:right w:w="28" w:type="dxa"/>
        </w:tblCellMar>
      </w:tblPr>
      <w:tblGrid>
        <w:gridCol w:w="1310"/>
        <w:gridCol w:w="1076"/>
        <w:gridCol w:w="1089"/>
        <w:gridCol w:w="1242"/>
        <w:gridCol w:w="1242"/>
        <w:gridCol w:w="1246"/>
        <w:gridCol w:w="877"/>
        <w:gridCol w:w="877"/>
        <w:gridCol w:w="1246"/>
      </w:tblGrid>
      <w:tr>
        <w:trPr/>
        <w:tc>
          <w:tcPr>
            <w:tcW w:w="131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37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4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of $0.001 per share</w:t>
            </w:r>
          </w:p>
        </w:tc>
        <w:tc>
          <w:tcPr>
            <w:tcW w:w="37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GEMI</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12(g) of the Act: None</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if the registrant is a well-known seasoned issuer, as defined in Rule 405 of the Securities Act. Yes ☐ No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if the registrant is not required to file reports pursuant to Section 13 or Section 15(d) of the Act. Yes ☐ No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22" w:type="dxa"/>
        <w:jc w:val="center"/>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09"/>
        <w:gridCol w:w="675"/>
        <w:gridCol w:w="675"/>
        <w:gridCol w:w="9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Non-accelerated filer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Smaller reporting company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Emerging growth company ☒ </w:t>
            </w:r>
          </w:p>
        </w:tc>
      </w:tr>
    </w:tbl>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We use this address for receiving mail and correspondence to our principal executive office located in New York, 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8" name="Frame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20"/>
        <w:jc w:val="center"/>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Act). Yes ☐ No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The registrant was not a public company as of June 30, 2025, the last business day of its most recently completed second fiscal quarter, and therefore, cannot calculate the aggregate market value of its voting and non-voting common equity held by non-affiliates as of such date. The registrant’s Class A common stock began trading on the Nasdaq Global Select Market on September 12, 2025.</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 xml:space="preserve">As of March 30, 2026, the registrant had outstanding 44,858,608 and 75,126,784 of shares of Class A and Class B common stock, respectively, each with a par value of $0.001.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DOCUMENTS INCORPORATED BY REFERENCE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Portions of the registrant’s definitive proxy statement for its 2026 Annual Meeting of Stockholders, or Proxy Statement, to be filed within 120 days after the end of the fiscal year covered by this Annual Report on Form 10-K, are incorporated by reference in Part III. Except with respect to information specifically incorporated by reference in this Annual Report, the Proxy Statement shall not be deemed to be filed as part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9" name="Frame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476"/>
        <w:gridCol w:w="3056"/>
        <w:gridCol w:w="3101"/>
        <w:gridCol w:w="167"/>
        <w:gridCol w:w="167"/>
        <w:gridCol w:w="238"/>
      </w:tblGrid>
      <w:tr>
        <w:trPr/>
        <w:tc>
          <w:tcPr>
            <w:tcW w:w="3476"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c>
          <w:tcPr>
            <w:tcW w:w="31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1244">
              <w:r>
                <w:rPr>
                  <w:rStyle w:val="InternetLink"/>
                  <w:rFonts w:ascii="Times New Roman;serif" w:hAnsi="Times New Roman;serif"/>
                  <w:b/>
                  <w:color w:val="0000FF"/>
                  <w:sz w:val="20"/>
                  <w:u w:val="single"/>
                </w:rPr>
                <w:t>Part I</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98e92ff5e2248149c5a58221ea5bce2_1244">
              <w:r>
                <w:rPr>
                  <w:rStyle w:val="InternetLink"/>
                  <w:rFonts w:ascii="Times New Roman;serif" w:hAnsi="Times New Roman;serif"/>
                  <w:b w:val="false"/>
                  <w:color w:val="0000FF"/>
                  <w:sz w:val="20"/>
                  <w:u w:val="single"/>
                </w:rPr>
                <w:t>9</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1092">
              <w:r>
                <w:rPr>
                  <w:rStyle w:val="InternetLink"/>
                  <w:rFonts w:ascii="Times New Roman;serif" w:hAnsi="Times New Roman;serif"/>
                  <w:b w:val="false"/>
                  <w:color w:val="000080"/>
                  <w:sz w:val="20"/>
                  <w:u w:val="single"/>
                </w:rPr>
                <w:t xml:space="preserve">Item 1. </w:t>
              </w:r>
            </w:hyperlink>
            <w:hyperlink w:anchor="i398e92ff5e2248149c5a58221ea5bce2_1092">
              <w:r>
                <w:rPr>
                  <w:rStyle w:val="InternetLink"/>
                  <w:rFonts w:ascii="Times New Roman;serif" w:hAnsi="Times New Roman;serif"/>
                  <w:b w:val="false"/>
                  <w:color w:val="000080"/>
                  <w:sz w:val="20"/>
                  <w:u w:val="single"/>
                </w:rPr>
                <w:t>B</w:t>
              </w:r>
            </w:hyperlink>
            <w:hyperlink w:anchor="i398e92ff5e2248149c5a58221ea5bce2_1092">
              <w:r>
                <w:rPr>
                  <w:rStyle w:val="InternetLink"/>
                  <w:rFonts w:ascii="Times New Roman;serif" w:hAnsi="Times New Roman;serif"/>
                  <w:b w:val="false"/>
                  <w:color w:val="000080"/>
                  <w:sz w:val="20"/>
                  <w:u w:val="single"/>
                </w:rPr>
                <w:t>usiness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98e92ff5e2248149c5a58221ea5bce2_1092">
              <w:r>
                <w:rPr>
                  <w:rStyle w:val="InternetLink"/>
                  <w:rFonts w:ascii="Times New Roman;serif" w:hAnsi="Times New Roman;serif"/>
                  <w:b w:val="false"/>
                  <w:color w:val="0000FF"/>
                  <w:sz w:val="20"/>
                  <w:u w:val="single"/>
                </w:rPr>
                <w:t>9</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98e92ff5e2248149c5a58221ea5bce2_223">
              <w:r>
                <w:rPr>
                  <w:rStyle w:val="InternetLink"/>
                  <w:rFonts w:ascii="Times New Roman;serif" w:hAnsi="Times New Roman;serif"/>
                  <w:b w:val="false"/>
                  <w:color w:val="0000FF"/>
                  <w:sz w:val="20"/>
                  <w:u w:val="single"/>
                </w:rPr>
                <w:t>Item 1A. Risk Factors</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98e92ff5e2248149c5a58221ea5bce2_223">
              <w:r>
                <w:rPr>
                  <w:rStyle w:val="InternetLink"/>
                  <w:rFonts w:ascii="Times New Roman;serif" w:hAnsi="Times New Roman;serif"/>
                  <w:b w:val="false"/>
                  <w:color w:val="0000FF"/>
                  <w:sz w:val="20"/>
                  <w:u w:val="single"/>
                </w:rPr>
                <w:t>24</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1251">
              <w:r>
                <w:rPr>
                  <w:rStyle w:val="InternetLink"/>
                  <w:rFonts w:ascii="Times New Roman;serif" w:hAnsi="Times New Roman;serif"/>
                  <w:b w:val="false"/>
                  <w:color w:val="000080"/>
                  <w:sz w:val="20"/>
                  <w:u w:val="single"/>
                </w:rPr>
                <w:t>Item 1</w:t>
              </w:r>
            </w:hyperlink>
            <w:hyperlink w:anchor="i398e92ff5e2248149c5a58221ea5bce2_1251">
              <w:r>
                <w:rPr>
                  <w:rStyle w:val="InternetLink"/>
                  <w:rFonts w:ascii="Times New Roman;serif" w:hAnsi="Times New Roman;serif"/>
                  <w:b w:val="false"/>
                  <w:color w:val="000080"/>
                  <w:sz w:val="20"/>
                  <w:u w:val="single"/>
                </w:rPr>
                <w:t>B</w:t>
              </w:r>
            </w:hyperlink>
            <w:hyperlink w:anchor="i398e92ff5e2248149c5a58221ea5bce2_1251">
              <w:r>
                <w:rPr>
                  <w:rStyle w:val="InternetLink"/>
                  <w:rFonts w:ascii="Times New Roman;serif" w:hAnsi="Times New Roman;serif"/>
                  <w:b w:val="false"/>
                  <w:color w:val="000080"/>
                  <w:sz w:val="20"/>
                  <w:u w:val="single"/>
                </w:rPr>
                <w:t xml:space="preserve">. </w:t>
              </w:r>
            </w:hyperlink>
            <w:hyperlink w:anchor="i398e92ff5e2248149c5a58221ea5bce2_1251">
              <w:r>
                <w:rPr>
                  <w:rStyle w:val="InternetLink"/>
                  <w:rFonts w:ascii="Times New Roman;serif" w:hAnsi="Times New Roman;serif"/>
                  <w:b w:val="false"/>
                  <w:color w:val="000080"/>
                  <w:sz w:val="20"/>
                  <w:u w:val="single"/>
                </w:rPr>
                <w:t>U</w:t>
              </w:r>
            </w:hyperlink>
            <w:hyperlink w:anchor="i398e92ff5e2248149c5a58221ea5bce2_1251">
              <w:r>
                <w:rPr>
                  <w:rStyle w:val="InternetLink"/>
                  <w:rFonts w:ascii="Times New Roman;serif" w:hAnsi="Times New Roman;serif"/>
                  <w:b w:val="false"/>
                  <w:color w:val="000080"/>
                  <w:sz w:val="20"/>
                  <w:u w:val="single"/>
                </w:rPr>
                <w:t>nresolved St</w:t>
              </w:r>
            </w:hyperlink>
            <w:hyperlink w:anchor="i398e92ff5e2248149c5a58221ea5bce2_1251">
              <w:r>
                <w:rPr>
                  <w:rStyle w:val="InternetLink"/>
                  <w:rFonts w:ascii="Times New Roman;serif" w:hAnsi="Times New Roman;serif"/>
                  <w:b w:val="false"/>
                  <w:color w:val="000080"/>
                  <w:sz w:val="20"/>
                  <w:u w:val="single"/>
                </w:rPr>
                <w:t>aff Comments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98e92ff5e2248149c5a58221ea5bce2_1251">
              <w:r>
                <w:rPr>
                  <w:rStyle w:val="InternetLink"/>
                  <w:rFonts w:ascii="Times New Roman;serif" w:hAnsi="Times New Roman;serif"/>
                  <w:b w:val="false"/>
                  <w:color w:val="0000FF"/>
                  <w:sz w:val="20"/>
                  <w:u w:val="single"/>
                </w:rPr>
                <w:t>99</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1320">
              <w:r>
                <w:rPr>
                  <w:rStyle w:val="InternetLink"/>
                  <w:rFonts w:ascii="Times New Roman;serif" w:hAnsi="Times New Roman;serif"/>
                  <w:b w:val="false"/>
                  <w:color w:val="000080"/>
                  <w:sz w:val="20"/>
                  <w:u w:val="single"/>
                </w:rPr>
                <w:t>Item 1</w:t>
              </w:r>
            </w:hyperlink>
            <w:hyperlink w:anchor="i398e92ff5e2248149c5a58221ea5bce2_1320">
              <w:r>
                <w:rPr>
                  <w:rStyle w:val="InternetLink"/>
                  <w:rFonts w:ascii="Times New Roman;serif" w:hAnsi="Times New Roman;serif"/>
                  <w:b w:val="false"/>
                  <w:color w:val="000080"/>
                  <w:sz w:val="20"/>
                  <w:u w:val="single"/>
                </w:rPr>
                <w:t>C</w:t>
              </w:r>
            </w:hyperlink>
            <w:hyperlink w:anchor="i398e92ff5e2248149c5a58221ea5bce2_1320">
              <w:r>
                <w:rPr>
                  <w:rStyle w:val="InternetLink"/>
                  <w:rFonts w:ascii="Times New Roman;serif" w:hAnsi="Times New Roman;serif"/>
                  <w:b w:val="false"/>
                  <w:color w:val="000080"/>
                  <w:sz w:val="20"/>
                  <w:u w:val="single"/>
                </w:rPr>
                <w:t xml:space="preserve">. </w:t>
              </w:r>
            </w:hyperlink>
            <w:hyperlink w:anchor="i398e92ff5e2248149c5a58221ea5bce2_1320">
              <w:r>
                <w:rPr>
                  <w:rStyle w:val="InternetLink"/>
                  <w:rFonts w:ascii="Times New Roman;serif" w:hAnsi="Times New Roman;serif"/>
                  <w:b w:val="false"/>
                  <w:color w:val="000080"/>
                  <w:sz w:val="20"/>
                  <w:u w:val="single"/>
                </w:rPr>
                <w:t>C</w:t>
              </w:r>
            </w:hyperlink>
            <w:hyperlink w:anchor="i398e92ff5e2248149c5a58221ea5bce2_1320">
              <w:r>
                <w:rPr>
                  <w:rStyle w:val="InternetLink"/>
                  <w:rFonts w:ascii="Times New Roman;serif" w:hAnsi="Times New Roman;serif"/>
                  <w:b w:val="false"/>
                  <w:color w:val="000080"/>
                  <w:sz w:val="20"/>
                  <w:u w:val="single"/>
                </w:rPr>
                <w:t>ybersecurity</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98e92ff5e2248149c5a58221ea5bce2_1320">
              <w:r>
                <w:rPr>
                  <w:rStyle w:val="InternetLink"/>
                  <w:rFonts w:ascii="Times New Roman;serif" w:hAnsi="Times New Roman;serif"/>
                  <w:b w:val="false"/>
                  <w:color w:val="0000FF"/>
                  <w:sz w:val="20"/>
                  <w:u w:val="single"/>
                </w:rPr>
                <w:t>99</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1325">
              <w:r>
                <w:rPr>
                  <w:rStyle w:val="InternetLink"/>
                  <w:rFonts w:ascii="Times New Roman;serif" w:hAnsi="Times New Roman;serif"/>
                  <w:b w:val="false"/>
                  <w:color w:val="000080"/>
                  <w:sz w:val="20"/>
                  <w:u w:val="single"/>
                </w:rPr>
                <w:t xml:space="preserve">Item </w:t>
              </w:r>
            </w:hyperlink>
            <w:hyperlink w:anchor="i398e92ff5e2248149c5a58221ea5bce2_1325">
              <w:r>
                <w:rPr>
                  <w:rStyle w:val="InternetLink"/>
                  <w:rFonts w:ascii="Times New Roman;serif" w:hAnsi="Times New Roman;serif"/>
                  <w:b w:val="false"/>
                  <w:color w:val="000080"/>
                  <w:sz w:val="20"/>
                  <w:u w:val="single"/>
                </w:rPr>
                <w:t>2</w:t>
              </w:r>
            </w:hyperlink>
            <w:hyperlink w:anchor="i398e92ff5e2248149c5a58221ea5bce2_1325">
              <w:r>
                <w:rPr>
                  <w:rStyle w:val="InternetLink"/>
                  <w:rFonts w:ascii="Times New Roman;serif" w:hAnsi="Times New Roman;serif"/>
                  <w:b w:val="false"/>
                  <w:color w:val="000080"/>
                  <w:sz w:val="20"/>
                  <w:u w:val="single"/>
                </w:rPr>
                <w:t xml:space="preserve">. </w:t>
              </w:r>
            </w:hyperlink>
            <w:hyperlink w:anchor="i398e92ff5e2248149c5a58221ea5bce2_1325">
              <w:r>
                <w:rPr>
                  <w:rStyle w:val="InternetLink"/>
                  <w:rFonts w:ascii="Times New Roman;serif" w:hAnsi="Times New Roman;serif"/>
                  <w:b w:val="false"/>
                  <w:color w:val="000080"/>
                  <w:sz w:val="20"/>
                  <w:u w:val="single"/>
                </w:rPr>
                <w:t>P</w:t>
              </w:r>
            </w:hyperlink>
            <w:hyperlink w:anchor="i398e92ff5e2248149c5a58221ea5bce2_1325">
              <w:r>
                <w:rPr>
                  <w:rStyle w:val="InternetLink"/>
                  <w:rFonts w:ascii="Times New Roman;serif" w:hAnsi="Times New Roman;serif"/>
                  <w:b w:val="false"/>
                  <w:color w:val="000080"/>
                  <w:sz w:val="20"/>
                  <w:u w:val="single"/>
                </w:rPr>
                <w:t>roperties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98e92ff5e2248149c5a58221ea5bce2_1325">
              <w:r>
                <w:rPr>
                  <w:rStyle w:val="InternetLink"/>
                  <w:rFonts w:ascii="Times New Roman;serif" w:hAnsi="Times New Roman;serif"/>
                  <w:b w:val="false"/>
                  <w:color w:val="0000FF"/>
                  <w:sz w:val="20"/>
                  <w:u w:val="single"/>
                </w:rPr>
                <w:t>101</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220">
              <w:r>
                <w:rPr>
                  <w:rStyle w:val="InternetLink"/>
                  <w:rFonts w:ascii="Times New Roman;serif" w:hAnsi="Times New Roman;serif"/>
                  <w:b w:val="false"/>
                  <w:color w:val="000080"/>
                  <w:sz w:val="20"/>
                  <w:u w:val="single"/>
                </w:rPr>
                <w:t xml:space="preserve">Item </w:t>
              </w:r>
            </w:hyperlink>
            <w:hyperlink w:anchor="i398e92ff5e2248149c5a58221ea5bce2_220">
              <w:r>
                <w:rPr>
                  <w:rStyle w:val="InternetLink"/>
                  <w:rFonts w:ascii="Times New Roman;serif" w:hAnsi="Times New Roman;serif"/>
                  <w:b w:val="false"/>
                  <w:color w:val="000080"/>
                  <w:sz w:val="20"/>
                  <w:u w:val="single"/>
                </w:rPr>
                <w:t>3</w:t>
              </w:r>
            </w:hyperlink>
            <w:hyperlink w:anchor="i398e92ff5e2248149c5a58221ea5bce2_220">
              <w:r>
                <w:rPr>
                  <w:rStyle w:val="InternetLink"/>
                  <w:rFonts w:ascii="Times New Roman;serif" w:hAnsi="Times New Roman;serif"/>
                  <w:b w:val="false"/>
                  <w:color w:val="000080"/>
                  <w:sz w:val="20"/>
                  <w:u w:val="single"/>
                </w:rPr>
                <w:t>. Legal Proceedings</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98e92ff5e2248149c5a58221ea5bce2_220">
              <w:r>
                <w:rPr>
                  <w:rStyle w:val="InternetLink"/>
                  <w:rFonts w:ascii="Times New Roman;serif" w:hAnsi="Times New Roman;serif"/>
                  <w:b w:val="false"/>
                  <w:color w:val="0000FF"/>
                  <w:sz w:val="20"/>
                  <w:u w:val="single"/>
                </w:rPr>
                <w:t>101</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98e92ff5e2248149c5a58221ea5bce2_232">
              <w:r>
                <w:rPr>
                  <w:rStyle w:val="InternetLink"/>
                  <w:rFonts w:ascii="Times New Roman;serif" w:hAnsi="Times New Roman;serif"/>
                  <w:b w:val="false"/>
                  <w:color w:val="0000FF"/>
                  <w:sz w:val="20"/>
                  <w:u w:val="single"/>
                </w:rPr>
                <w:t>Item 4. Mine Safety Disclosures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98e92ff5e2248149c5a58221ea5bce2_232">
              <w:r>
                <w:rPr>
                  <w:rStyle w:val="InternetLink"/>
                  <w:rFonts w:ascii="Times New Roman;serif" w:hAnsi="Times New Roman;serif"/>
                  <w:b w:val="false"/>
                  <w:color w:val="0000FF"/>
                  <w:sz w:val="20"/>
                  <w:u w:val="single"/>
                </w:rPr>
                <w:t>101</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1373">
              <w:r>
                <w:rPr>
                  <w:rStyle w:val="InternetLink"/>
                  <w:rFonts w:ascii="Times New Roman;serif" w:hAnsi="Times New Roman;serif"/>
                  <w:b/>
                  <w:color w:val="0000FF"/>
                  <w:sz w:val="20"/>
                  <w:u w:val="single"/>
                </w:rPr>
                <w:t>Part II</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98e92ff5e2248149c5a58221ea5bce2_1373">
              <w:r>
                <w:rPr>
                  <w:rStyle w:val="InternetLink"/>
                  <w:rFonts w:ascii="Times New Roman;serif" w:hAnsi="Times New Roman;serif"/>
                  <w:b w:val="false"/>
                  <w:color w:val="0000FF"/>
                  <w:sz w:val="20"/>
                  <w:u w:val="single"/>
                </w:rPr>
                <w:t>102</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98e92ff5e2248149c5a58221ea5bce2_1312">
              <w:r>
                <w:rPr>
                  <w:rStyle w:val="InternetLink"/>
                  <w:rFonts w:ascii="Times New Roman;serif" w:hAnsi="Times New Roman;serif"/>
                  <w:b w:val="false"/>
                  <w:color w:val="0000FF"/>
                  <w:sz w:val="20"/>
                  <w:u w:val="single"/>
                </w:rPr>
                <w:t>Item 5. Market for Registrant’s Common Equity, Related Stockholder Matters and Issuer Purchases of Equity Securities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98e92ff5e2248149c5a58221ea5bce2_1312">
              <w:r>
                <w:rPr>
                  <w:rStyle w:val="InternetLink"/>
                  <w:rFonts w:ascii="Times New Roman;serif" w:hAnsi="Times New Roman;serif"/>
                  <w:b w:val="false"/>
                  <w:color w:val="0000FF"/>
                  <w:sz w:val="20"/>
                  <w:u w:val="single"/>
                </w:rPr>
                <w:t>102</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98e92ff5e2248149c5a58221ea5bce2_1306">
              <w:r>
                <w:rPr>
                  <w:rStyle w:val="InternetLink"/>
                  <w:rFonts w:ascii="Times New Roman;serif" w:hAnsi="Times New Roman;serif"/>
                  <w:b w:val="false"/>
                  <w:color w:val="0000FF"/>
                  <w:sz w:val="20"/>
                  <w:u w:val="single"/>
                </w:rPr>
                <w:t>Item 6. [Reserved]</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98e92ff5e2248149c5a58221ea5bce2_1306">
              <w:r>
                <w:rPr>
                  <w:rStyle w:val="InternetLink"/>
                  <w:rFonts w:ascii="Times New Roman;serif" w:hAnsi="Times New Roman;serif"/>
                  <w:b w:val="false"/>
                  <w:color w:val="0000FF"/>
                  <w:sz w:val="20"/>
                  <w:u w:val="single"/>
                </w:rPr>
                <w:t>103</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205">
              <w:r>
                <w:rPr>
                  <w:rStyle w:val="InternetLink"/>
                  <w:rFonts w:ascii="Times New Roman;serif" w:hAnsi="Times New Roman;serif"/>
                  <w:b w:val="false"/>
                  <w:color w:val="000080"/>
                  <w:sz w:val="20"/>
                  <w:u w:val="single"/>
                </w:rPr>
                <w:t xml:space="preserve">Item </w:t>
              </w:r>
            </w:hyperlink>
            <w:hyperlink w:anchor="i398e92ff5e2248149c5a58221ea5bce2_205">
              <w:r>
                <w:rPr>
                  <w:rStyle w:val="InternetLink"/>
                  <w:rFonts w:ascii="Times New Roman;serif" w:hAnsi="Times New Roman;serif"/>
                  <w:b w:val="false"/>
                  <w:color w:val="000080"/>
                  <w:sz w:val="20"/>
                  <w:u w:val="single"/>
                </w:rPr>
                <w:t>7</w:t>
              </w:r>
            </w:hyperlink>
            <w:hyperlink w:anchor="i398e92ff5e2248149c5a58221ea5bce2_205">
              <w:r>
                <w:rPr>
                  <w:rStyle w:val="InternetLink"/>
                  <w:rFonts w:ascii="Times New Roman;serif" w:hAnsi="Times New Roman;serif"/>
                  <w:b w:val="false"/>
                  <w:color w:val="000080"/>
                  <w:sz w:val="20"/>
                  <w:u w:val="single"/>
                </w:rPr>
                <w:t>. Management's Discussion and Analysis of Financial Condition and Results of Operations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98e92ff5e2248149c5a58221ea5bce2_205">
              <w:r>
                <w:rPr>
                  <w:rStyle w:val="InternetLink"/>
                  <w:rFonts w:ascii="Times New Roman;serif" w:hAnsi="Times New Roman;serif"/>
                  <w:b w:val="false"/>
                  <w:color w:val="0000FF"/>
                  <w:sz w:val="20"/>
                  <w:u w:val="single"/>
                </w:rPr>
                <w:t>103</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211">
              <w:r>
                <w:rPr>
                  <w:rStyle w:val="InternetLink"/>
                  <w:rFonts w:ascii="Times New Roman;serif" w:hAnsi="Times New Roman;serif"/>
                  <w:b w:val="false"/>
                  <w:color w:val="000080"/>
                  <w:sz w:val="20"/>
                  <w:u w:val="single"/>
                </w:rPr>
                <w:t xml:space="preserve">Item </w:t>
              </w:r>
            </w:hyperlink>
            <w:hyperlink w:anchor="i398e92ff5e2248149c5a58221ea5bce2_211">
              <w:r>
                <w:rPr>
                  <w:rStyle w:val="InternetLink"/>
                  <w:rFonts w:ascii="Times New Roman;serif" w:hAnsi="Times New Roman;serif"/>
                  <w:b w:val="false"/>
                  <w:color w:val="000080"/>
                  <w:sz w:val="20"/>
                  <w:u w:val="single"/>
                </w:rPr>
                <w:t>7A</w:t>
              </w:r>
            </w:hyperlink>
            <w:hyperlink w:anchor="i398e92ff5e2248149c5a58221ea5bce2_211">
              <w:r>
                <w:rPr>
                  <w:rStyle w:val="InternetLink"/>
                  <w:rFonts w:ascii="Times New Roman;serif" w:hAnsi="Times New Roman;serif"/>
                  <w:b w:val="false"/>
                  <w:color w:val="000080"/>
                  <w:sz w:val="20"/>
                  <w:u w:val="single"/>
                </w:rPr>
                <w:t>. Quantitative and Qualitative Disclosures About Market Risk</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98e92ff5e2248149c5a58221ea5bce2_211">
              <w:r>
                <w:rPr>
                  <w:rStyle w:val="InternetLink"/>
                  <w:rFonts w:ascii="Times New Roman;serif" w:hAnsi="Times New Roman;serif"/>
                  <w:b w:val="false"/>
                  <w:color w:val="0000FF"/>
                  <w:sz w:val="20"/>
                  <w:u w:val="single"/>
                </w:rPr>
                <w:t>133</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549755814943">
              <w:r>
                <w:rPr>
                  <w:rStyle w:val="InternetLink"/>
                  <w:rFonts w:ascii="Times New Roman;serif" w:hAnsi="Times New Roman;serif"/>
                  <w:b w:val="false"/>
                  <w:color w:val="000080"/>
                  <w:sz w:val="20"/>
                  <w:u w:val="single"/>
                </w:rPr>
                <w:t xml:space="preserve">Item </w:t>
              </w:r>
            </w:hyperlink>
            <w:hyperlink w:anchor="i398e92ff5e2248149c5a58221ea5bce2_549755814943">
              <w:r>
                <w:rPr>
                  <w:rStyle w:val="InternetLink"/>
                  <w:rFonts w:ascii="Times New Roman;serif" w:hAnsi="Times New Roman;serif"/>
                  <w:b w:val="false"/>
                  <w:color w:val="000080"/>
                  <w:sz w:val="20"/>
                  <w:u w:val="single"/>
                </w:rPr>
                <w:t>8</w:t>
              </w:r>
            </w:hyperlink>
            <w:hyperlink w:anchor="i398e92ff5e2248149c5a58221ea5bce2_549755814943">
              <w:r>
                <w:rPr>
                  <w:rStyle w:val="InternetLink"/>
                  <w:rFonts w:ascii="Times New Roman;serif" w:hAnsi="Times New Roman;serif"/>
                  <w:b w:val="false"/>
                  <w:color w:val="000080"/>
                  <w:sz w:val="20"/>
                  <w:u w:val="single"/>
                </w:rPr>
                <w:t xml:space="preserve">. Financial Statements </w:t>
              </w:r>
            </w:hyperlink>
            <w:hyperlink w:anchor="i398e92ff5e2248149c5a58221ea5bce2_549755814943">
              <w:r>
                <w:rPr>
                  <w:rStyle w:val="InternetLink"/>
                  <w:rFonts w:ascii="Times New Roman;serif" w:hAnsi="Times New Roman;serif"/>
                  <w:b w:val="false"/>
                  <w:color w:val="000080"/>
                  <w:sz w:val="20"/>
                  <w:u w:val="single"/>
                </w:rPr>
                <w:t>and Supp</w:t>
              </w:r>
            </w:hyperlink>
            <w:hyperlink w:anchor="i398e92ff5e2248149c5a58221ea5bce2_549755814943">
              <w:r>
                <w:rPr>
                  <w:rStyle w:val="InternetLink"/>
                  <w:rFonts w:ascii="Times New Roman;serif" w:hAnsi="Times New Roman;serif"/>
                  <w:b w:val="false"/>
                  <w:color w:val="000080"/>
                  <w:sz w:val="20"/>
                  <w:u w:val="single"/>
                </w:rPr>
                <w:t>lementary Data</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98e92ff5e2248149c5a58221ea5bce2_549755814943">
              <w:r>
                <w:rPr>
                  <w:rStyle w:val="InternetLink"/>
                  <w:rFonts w:ascii="Times New Roman;serif" w:hAnsi="Times New Roman;serif"/>
                  <w:b w:val="false"/>
                  <w:color w:val="0000FF"/>
                  <w:sz w:val="20"/>
                  <w:u w:val="single"/>
                </w:rPr>
                <w:t>135</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98e92ff5e2248149c5a58221ea5bce2_1296">
              <w:r>
                <w:rPr>
                  <w:rStyle w:val="InternetLink"/>
                  <w:rFonts w:ascii="Times New Roman;serif" w:hAnsi="Times New Roman;serif"/>
                  <w:b w:val="false"/>
                  <w:color w:val="0000FF"/>
                  <w:sz w:val="20"/>
                  <w:u w:val="single"/>
                </w:rPr>
                <w:t>Item 9. Changes in and Disagreements with Accountants on Accounting and Financial Disclosures</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98e92ff5e2248149c5a58221ea5bce2_1296">
              <w:r>
                <w:rPr>
                  <w:rStyle w:val="InternetLink"/>
                  <w:rFonts w:ascii="Times New Roman;serif" w:hAnsi="Times New Roman;serif"/>
                  <w:b w:val="false"/>
                  <w:color w:val="0000FF"/>
                  <w:sz w:val="20"/>
                  <w:u w:val="single"/>
                </w:rPr>
                <w:t>208</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214">
              <w:r>
                <w:rPr>
                  <w:rStyle w:val="InternetLink"/>
                  <w:rFonts w:ascii="Times New Roman;serif" w:hAnsi="Times New Roman;serif"/>
                  <w:b w:val="false"/>
                  <w:color w:val="000080"/>
                  <w:sz w:val="20"/>
                  <w:u w:val="single"/>
                </w:rPr>
                <w:t xml:space="preserve">Item </w:t>
              </w:r>
            </w:hyperlink>
            <w:hyperlink w:anchor="i398e92ff5e2248149c5a58221ea5bce2_214">
              <w:r>
                <w:rPr>
                  <w:rStyle w:val="InternetLink"/>
                  <w:rFonts w:ascii="Times New Roman;serif" w:hAnsi="Times New Roman;serif"/>
                  <w:b w:val="false"/>
                  <w:color w:val="000080"/>
                  <w:sz w:val="20"/>
                  <w:u w:val="single"/>
                </w:rPr>
                <w:t>9A</w:t>
              </w:r>
            </w:hyperlink>
            <w:hyperlink w:anchor="i398e92ff5e2248149c5a58221ea5bce2_214">
              <w:r>
                <w:rPr>
                  <w:rStyle w:val="InternetLink"/>
                  <w:rFonts w:ascii="Times New Roman;serif" w:hAnsi="Times New Roman;serif"/>
                  <w:b w:val="false"/>
                  <w:color w:val="000080"/>
                  <w:sz w:val="20"/>
                  <w:u w:val="single"/>
                </w:rPr>
                <w:t>. Controls and Procedures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98e92ff5e2248149c5a58221ea5bce2_214">
              <w:r>
                <w:rPr>
                  <w:rStyle w:val="InternetLink"/>
                  <w:rFonts w:ascii="Times New Roman;serif" w:hAnsi="Times New Roman;serif"/>
                  <w:b w:val="false"/>
                  <w:color w:val="0000FF"/>
                  <w:sz w:val="20"/>
                  <w:u w:val="single"/>
                </w:rPr>
                <w:t>208</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235">
              <w:r>
                <w:rPr>
                  <w:rStyle w:val="InternetLink"/>
                  <w:rFonts w:ascii="Times New Roman;serif" w:hAnsi="Times New Roman;serif"/>
                  <w:b w:val="false"/>
                  <w:color w:val="000080"/>
                  <w:sz w:val="20"/>
                  <w:u w:val="single"/>
                </w:rPr>
                <w:t xml:space="preserve">Item </w:t>
              </w:r>
            </w:hyperlink>
            <w:hyperlink w:anchor="i398e92ff5e2248149c5a58221ea5bce2_235">
              <w:r>
                <w:rPr>
                  <w:rStyle w:val="InternetLink"/>
                  <w:rFonts w:ascii="Times New Roman;serif" w:hAnsi="Times New Roman;serif"/>
                  <w:b w:val="false"/>
                  <w:color w:val="000080"/>
                  <w:sz w:val="20"/>
                  <w:u w:val="single"/>
                </w:rPr>
                <w:t>9B</w:t>
              </w:r>
            </w:hyperlink>
            <w:hyperlink w:anchor="i398e92ff5e2248149c5a58221ea5bce2_235">
              <w:r>
                <w:rPr>
                  <w:rStyle w:val="InternetLink"/>
                  <w:rFonts w:ascii="Times New Roman;serif" w:hAnsi="Times New Roman;serif"/>
                  <w:b w:val="false"/>
                  <w:color w:val="000080"/>
                  <w:sz w:val="20"/>
                  <w:u w:val="single"/>
                </w:rPr>
                <w:t>. Other Information</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98e92ff5e2248149c5a58221ea5bce2_235">
              <w:r>
                <w:rPr>
                  <w:rStyle w:val="InternetLink"/>
                  <w:rFonts w:ascii="Times New Roman;serif" w:hAnsi="Times New Roman;serif"/>
                  <w:b w:val="false"/>
                  <w:color w:val="0000FF"/>
                  <w:sz w:val="20"/>
                  <w:u w:val="single"/>
                </w:rPr>
                <w:t>209</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1288">
              <w:r>
                <w:rPr>
                  <w:rStyle w:val="InternetLink"/>
                  <w:rFonts w:ascii="Times New Roman;serif" w:hAnsi="Times New Roman;serif"/>
                  <w:b w:val="false"/>
                  <w:color w:val="000080"/>
                  <w:sz w:val="20"/>
                  <w:u w:val="single"/>
                </w:rPr>
                <w:t>Item 9</w:t>
              </w:r>
            </w:hyperlink>
            <w:hyperlink w:anchor="i398e92ff5e2248149c5a58221ea5bce2_1288">
              <w:r>
                <w:rPr>
                  <w:rStyle w:val="InternetLink"/>
                  <w:rFonts w:ascii="Times New Roman;serif" w:hAnsi="Times New Roman;serif"/>
                  <w:b w:val="false"/>
                  <w:color w:val="000080"/>
                  <w:sz w:val="20"/>
                  <w:u w:val="single"/>
                </w:rPr>
                <w:t>C</w:t>
              </w:r>
            </w:hyperlink>
            <w:hyperlink w:anchor="i398e92ff5e2248149c5a58221ea5bce2_1288">
              <w:r>
                <w:rPr>
                  <w:rStyle w:val="InternetLink"/>
                  <w:rFonts w:ascii="Times New Roman;serif" w:hAnsi="Times New Roman;serif"/>
                  <w:b w:val="false"/>
                  <w:color w:val="000080"/>
                  <w:sz w:val="20"/>
                  <w:u w:val="single"/>
                </w:rPr>
                <w:t xml:space="preserve">. </w:t>
              </w:r>
            </w:hyperlink>
            <w:hyperlink w:anchor="i398e92ff5e2248149c5a58221ea5bce2_1288">
              <w:r>
                <w:rPr>
                  <w:rStyle w:val="InternetLink"/>
                  <w:rFonts w:ascii="Times New Roman;serif" w:hAnsi="Times New Roman;serif"/>
                  <w:b w:val="false"/>
                  <w:color w:val="000080"/>
                  <w:sz w:val="20"/>
                  <w:u w:val="single"/>
                </w:rPr>
                <w:t>Disclosure Regarding Foreign Jurisdictions that Prevent Inspections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98e92ff5e2248149c5a58221ea5bce2_1288">
              <w:r>
                <w:rPr>
                  <w:rStyle w:val="InternetLink"/>
                  <w:rFonts w:ascii="Times New Roman;serif" w:hAnsi="Times New Roman;serif"/>
                  <w:b w:val="false"/>
                  <w:color w:val="0000FF"/>
                  <w:sz w:val="20"/>
                  <w:u w:val="single"/>
                </w:rPr>
                <w:t>209</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1102">
              <w:r>
                <w:rPr>
                  <w:rStyle w:val="InternetLink"/>
                  <w:rFonts w:ascii="Times New Roman;serif" w:hAnsi="Times New Roman;serif"/>
                  <w:b/>
                  <w:color w:val="000080"/>
                  <w:sz w:val="20"/>
                  <w:u w:val="single"/>
                </w:rPr>
                <w:t>Part II</w:t>
              </w:r>
            </w:hyperlink>
            <w:r>
              <w:rPr>
                <w:rFonts w:ascii="Times New Roman;serif" w:hAnsi="Times New Roman;serif"/>
                <w:b/>
                <w:color w:val="0000FF"/>
                <w:sz w:val="20"/>
                <w:u w:val="single"/>
              </w:rPr>
              <w:t>I</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98e92ff5e2248149c5a58221ea5bce2_1102">
              <w:r>
                <w:rPr>
                  <w:rStyle w:val="InternetLink"/>
                  <w:rFonts w:ascii="Times New Roman;serif" w:hAnsi="Times New Roman;serif"/>
                  <w:b w:val="false"/>
                  <w:color w:val="0000FF"/>
                  <w:sz w:val="20"/>
                  <w:u w:val="single"/>
                </w:rPr>
                <w:t>210</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1212">
              <w:r>
                <w:rPr>
                  <w:rStyle w:val="InternetLink"/>
                  <w:rFonts w:ascii="Times New Roman;serif" w:hAnsi="Times New Roman;serif"/>
                  <w:b w:val="false"/>
                  <w:color w:val="0000FF"/>
                  <w:sz w:val="20"/>
                  <w:u w:val="single"/>
                </w:rPr>
                <w:t>Item 10. Directors, Executive Officers and Corporate Governance</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98e92ff5e2248149c5a58221ea5bce2_1212">
              <w:r>
                <w:rPr>
                  <w:rStyle w:val="InternetLink"/>
                  <w:rFonts w:ascii="Times New Roman;serif" w:hAnsi="Times New Roman;serif"/>
                  <w:b w:val="false"/>
                  <w:color w:val="0000FF"/>
                  <w:sz w:val="20"/>
                  <w:u w:val="single"/>
                </w:rPr>
                <w:t>210</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1099511628996">
              <w:r>
                <w:rPr>
                  <w:rStyle w:val="InternetLink"/>
                  <w:rFonts w:ascii="Times New Roman;serif" w:hAnsi="Times New Roman;serif"/>
                  <w:b w:val="false"/>
                  <w:color w:val="0000FF"/>
                  <w:sz w:val="20"/>
                  <w:u w:val="single"/>
                </w:rPr>
                <w:t>Item 11. Executive Compensation</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98e92ff5e2248149c5a58221ea5bce2_1099511628996">
              <w:r>
                <w:rPr>
                  <w:rStyle w:val="InternetLink"/>
                  <w:rFonts w:ascii="Times New Roman;serif" w:hAnsi="Times New Roman;serif"/>
                  <w:b w:val="false"/>
                  <w:color w:val="0000FF"/>
                  <w:sz w:val="20"/>
                  <w:u w:val="single"/>
                </w:rPr>
                <w:t>210</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1099511629002">
              <w:r>
                <w:rPr>
                  <w:rStyle w:val="InternetLink"/>
                  <w:rFonts w:ascii="Times New Roman;serif" w:hAnsi="Times New Roman;serif"/>
                  <w:b w:val="false"/>
                  <w:color w:val="0000FF"/>
                  <w:sz w:val="20"/>
                  <w:u w:val="single"/>
                </w:rPr>
                <w:t>Item 12. Security Ownership of Certain Beneficial Owners and Management and Related Stockholder Matters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98e92ff5e2248149c5a58221ea5bce2_1099511629002">
              <w:r>
                <w:rPr>
                  <w:rStyle w:val="InternetLink"/>
                  <w:rFonts w:ascii="Times New Roman;serif" w:hAnsi="Times New Roman;serif"/>
                  <w:b w:val="false"/>
                  <w:color w:val="0000FF"/>
                  <w:sz w:val="20"/>
                  <w:u w:val="single"/>
                </w:rPr>
                <w:t>210</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1099511629008">
              <w:r>
                <w:rPr>
                  <w:rStyle w:val="InternetLink"/>
                  <w:rFonts w:ascii="Times New Roman;serif" w:hAnsi="Times New Roman;serif"/>
                  <w:b w:val="false"/>
                  <w:color w:val="0000FF"/>
                  <w:sz w:val="20"/>
                  <w:u w:val="single"/>
                </w:rPr>
                <w:t>Item 13. Certain Relationships and Related Transactions, and Director Independence</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98e92ff5e2248149c5a58221ea5bce2_1099511629008">
              <w:r>
                <w:rPr>
                  <w:rStyle w:val="InternetLink"/>
                  <w:rFonts w:ascii="Times New Roman;serif" w:hAnsi="Times New Roman;serif"/>
                  <w:b w:val="false"/>
                  <w:color w:val="0000FF"/>
                  <w:sz w:val="20"/>
                  <w:u w:val="single"/>
                </w:rPr>
                <w:t>210</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1099511629014">
              <w:r>
                <w:rPr>
                  <w:rStyle w:val="InternetLink"/>
                  <w:rFonts w:ascii="Times New Roman;serif" w:hAnsi="Times New Roman;serif"/>
                  <w:b w:val="false"/>
                  <w:color w:val="0000FF"/>
                  <w:sz w:val="20"/>
                  <w:u w:val="single"/>
                </w:rPr>
                <w:t>Item 14. Principal Accountant Fees and Services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98e92ff5e2248149c5a58221ea5bce2_1099511629014">
              <w:r>
                <w:rPr>
                  <w:rStyle w:val="InternetLink"/>
                  <w:rFonts w:ascii="Times New Roman;serif" w:hAnsi="Times New Roman;serif"/>
                  <w:b w:val="false"/>
                  <w:color w:val="0000FF"/>
                  <w:sz w:val="20"/>
                  <w:u w:val="single"/>
                </w:rPr>
                <w:t>210</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1108">
              <w:r>
                <w:rPr>
                  <w:rStyle w:val="InternetLink"/>
                  <w:rFonts w:ascii="Times New Roman;serif" w:hAnsi="Times New Roman;serif"/>
                  <w:b/>
                  <w:color w:val="000080"/>
                  <w:sz w:val="20"/>
                  <w:u w:val="single"/>
                </w:rPr>
                <w:t>Part I</w:t>
              </w:r>
            </w:hyperlink>
            <w:r>
              <w:rPr>
                <w:rFonts w:ascii="Times New Roman;serif" w:hAnsi="Times New Roman;serif"/>
                <w:b/>
                <w:color w:val="0000FF"/>
                <w:sz w:val="20"/>
                <w:u w:val="single"/>
              </w:rPr>
              <w:t>V</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98e92ff5e2248149c5a58221ea5bce2_1108">
              <w:r>
                <w:rPr>
                  <w:rStyle w:val="InternetLink"/>
                  <w:rFonts w:ascii="Times New Roman;serif" w:hAnsi="Times New Roman;serif"/>
                  <w:b w:val="false"/>
                  <w:color w:val="0000FF"/>
                  <w:sz w:val="20"/>
                  <w:u w:val="single"/>
                </w:rPr>
                <w:t>211</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1099511628913">
              <w:r>
                <w:rPr>
                  <w:rStyle w:val="InternetLink"/>
                  <w:rFonts w:ascii="Times New Roman;serif" w:hAnsi="Times New Roman;serif"/>
                  <w:b w:val="false"/>
                  <w:color w:val="0000FF"/>
                  <w:sz w:val="20"/>
                  <w:u w:val="single"/>
                </w:rPr>
                <w:t>Item 15. Exhibits and Financial Statement Schedules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98e92ff5e2248149c5a58221ea5bce2_1099511628913">
              <w:r>
                <w:rPr>
                  <w:rStyle w:val="InternetLink"/>
                  <w:rFonts w:ascii="Times New Roman;serif" w:hAnsi="Times New Roman;serif"/>
                  <w:b w:val="false"/>
                  <w:color w:val="0000FF"/>
                  <w:sz w:val="20"/>
                  <w:u w:val="single"/>
                </w:rPr>
                <w:t>211</w:t>
              </w:r>
            </w:hyperlink>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1118">
              <w:r>
                <w:rPr>
                  <w:rStyle w:val="InternetLink"/>
                  <w:rFonts w:ascii="Times New Roman;serif" w:hAnsi="Times New Roman;serif"/>
                  <w:b w:val="false"/>
                  <w:color w:val="000080"/>
                  <w:sz w:val="20"/>
                  <w:u w:val="single"/>
                </w:rPr>
                <w:t>Item</w:t>
              </w:r>
            </w:hyperlink>
            <w:hyperlink w:anchor="i398e92ff5e2248149c5a58221ea5bce2_1118">
              <w:r>
                <w:rPr>
                  <w:rStyle w:val="InternetLink"/>
                  <w:rFonts w:ascii="Times New Roman;serif" w:hAnsi="Times New Roman;serif"/>
                  <w:b w:val="false"/>
                  <w:color w:val="000080"/>
                  <w:sz w:val="20"/>
                  <w:u w:val="single"/>
                </w:rPr>
                <w:t xml:space="preserve"> 16. Form 10-K Summary</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98e92ff5e2248149c5a58221ea5bce2_1118">
              <w:r>
                <w:rPr>
                  <w:rStyle w:val="InternetLink"/>
                  <w:rFonts w:ascii="Times New Roman;serif" w:hAnsi="Times New Roman;serif"/>
                  <w:b w:val="false"/>
                  <w:color w:val="0000FF"/>
                  <w:sz w:val="20"/>
                  <w:u w:val="single"/>
                </w:rPr>
                <w:t>214</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1099511628851">
              <w:r>
                <w:rPr>
                  <w:rStyle w:val="InternetLink"/>
                  <w:rFonts w:ascii="Times New Roman;serif" w:hAnsi="Times New Roman;serif"/>
                  <w:b w:val="false"/>
                  <w:color w:val="0000FF"/>
                  <w:sz w:val="20"/>
                  <w:u w:val="single"/>
                </w:rPr>
                <w:t>Signatures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98e92ff5e2248149c5a58221ea5bce2_1099511628851">
              <w:r>
                <w:rPr>
                  <w:rStyle w:val="InternetLink"/>
                  <w:rFonts w:ascii="Times New Roman;serif" w:hAnsi="Times New Roman;serif"/>
                  <w:b w:val="false"/>
                  <w:color w:val="0000FF"/>
                  <w:sz w:val="20"/>
                  <w:u w:val="single"/>
                </w:rPr>
                <w:t>215</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10"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INDUSTRY GLOSSARY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Throughout this Annual Report on Form 10-K, we use a number of industry terms and concepts that are generally defined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Admin key” refers to a string of alphanumeric characters that permits its holder special access to make changes to a project’s protocol or smart contract. It is typically held by a project’s founders or core team.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Banking rails” refers to the infrastructure and systems that facilitate the movement of money between parties in a financial transaction. In the context of our business, the term refers to our customer-facing banking relationships, which allow our users to fund purchases on our platform and withdraw the proceeds of sales, among other things.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Bitcoin” refers to the original blockchain network as initially introduced in a white paper titled Bitcoin: A Peer-to-Peer Electronic Cash System by Satoshi Nakamoto. Bitcoin was established in 2009 and pioneered Proof of Work, a technology for reaching consensus on a decentralized network.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bitcoin” or “BTC” refers to the native cryptocurrency on the Bitcoin network.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Block” refers to the data record of all transaction information made during a specific time frame on a blockchain network. Blocks are added sequentially to a network’s chain of data, which in turn make up the public ledger known as a blockchain. Blocks must be confirmed by the network via a process of consensus (known as a consensus mechanism) before a network can continue transacting and creating new blocks.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Blockchain” refers to a distributed ledger of transactions created by software (the blockchain protocol) that relies on advanced cryptography and a consensus mechanism to verify and record information.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Blockchain address” or “wallet address” refers to a string of alphanumeric characters that represents a participant in the network. Each blockchain address is unique.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Blockchain network” refers to the network of computers that have downloaded and are running the publicly available source code, or protocol, for a given blockchain. A blockchain network is the collection of all miners, nodes or validators, wallets, and other network participants that use computing power to send transactions, maintain the ledger, and add new blocks to the blockchain. Blockchain networks are designed for different purposes. For example, Bitcoin was designed to serve as a peer-to-peer electronic cash system and then evolved into a store of value, whereas Ethereum was designed to be a smart contract and decentralized application platform.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Blockchain protocol” refers to the publicly available source code that determines how computers participating in a given blockchain network interact with one another to maintain the blockchain. Among other things, the blockchain protocol details how transactions must be structured and determines the consensus mechanism used to validate and record transactions on the blockchain. Bitcoin and Ethereum are examples of well-known blockchain protocols.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Cold storage” refers to the storage of digital assets on a digital asset wallet that is disconnected from the internet. Common cold storage examples include offline computers, USB drives, or other devices.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Consensus mechanism” refers to the set of rules in a blockchain protocol that ensures all participants in that network unanimously agree on and verify data before it is recorded on the blockchain.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11"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Cryptoeconomy” refers to the ecosystem that is powered by the use of digital assets and blockchain technology. It includes the creation, distribution, and management of digital assets within decentralized networks, as well as the incentive structures designed to encourage participation and ensure network security.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Cryptography” refers to the process of encrypting and decrypting data. Blockchain protocols use asymmetric cryptography to ensure the authenticity of data transmitted on the network. The protocol creates a pair of keys—a private key held by the owner of a wallet and a public key which is shared. To attest to the authenticity and ensure the integrity of a message or transaction, the protocol produces a digital signature from the private key and then verifies that signature with only public data (the public key).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Crypto rails” refers to the underlying infrastructure and technology that facilitate the transfer, storage, and exchange of digital assets. This includes blockchain networks and other systems that enable seamless and secure transactions within the digital asset ecosystem.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Custodial wallet” refers to a type of digital asset wallet where a third party holds a user’s private keys and crypto assets. With a custodial wallet, a user must trust a third party to secure their funds and return them upon request. The most common custodial wallets are web-based exchange wallets.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Custodian” refers to a person responsible for securely storing digital assets for another institution or individual. Typically, custodial services are targeted at institutional investors who hold large amounts of cryptocurrency. Custodians are often exchanges that host digital asset wallets for their users. A digital asset custodian must manage private cryptographic keys or material, backup and recovery of such material, and secure means of transaction construction and production of cryptographic signatures.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Custody” refers to the storing and safekeeping of a user’s private keys and digital assets by a third party, often to protect against theft or loss. Custody solutions may include managing private keys and ensuring secure access to funds. For example, digital asset exchanges often custody their users’ private keys and cryptocurrency holdings.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Decentralized application” or “dApp” refers to a software application that runs on a decentralized network, rather than a single centralized server. dApps typically leverage smart contracts to facilitate trust-minimized interactions among users. Examples of dApps that operate peer-to-peer include collateralized lending protocols and decentralized exchanges.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Decentralized Autonomous Organization” or “DAO” refers to an organization collectively owned and managed by its members, with rules enforced by smart contracts on a blockchain. Decisions, such as governance, are typically proposed and voted on by token holders rather than decided by a central authority.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Decentralized exchange” or “DEX” refers to a peer-to-peer marketplace running on smart contracts, allowing users to retain custody of their funds and trade directly with each other without intermediaries.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Decentralized finance” or “DeFi” refers to a peer-to-peer software-based network of protocols that can be used to facilitate traditional financial services like borrowing, lending, trading derivatives, insurance, and more through smart contracts.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Digital asset” refers to a bearer asset that exists on a public blockchain network. As used in this Annual Report on Form 10-K, it is synonymous with crypto asset and cryptocurrency. These terms encompass a wide variety of assets, including cryptocurrencies, tokens, digital stocks, and non-fungible tokens.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12"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Ethereum” refers to a blockchain protocol that helped spawn innovations like smart contracts, stablecoins, and dApps and DeFi applications.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ether” or “ETH” refers to the native cryptocurrency of the Ethereum blockchain.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Ethereum Request for Comment 20” or “ERC-20” refers to the technical standard used for issuing and implementing digital assets (often called tokens in this context) on the Ethereum blockchain. The standard consists of a common set of rules that an asset must follow to function correctly within the Ethereum ecosystem.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ERC-20 token” refers to a type of digital asset created using ERC-20.</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GUSD” refers to a stablecoin issued by Gemini that is specifically designed for high scalability, large transaction volume, and a wide variety of transaction types. All GUSD tokens are redeemable on a 1:1 basis for U.S. dollars. GUSD is an ERC-20 token issued on the Ethereum blockchain.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Hot wallet” refers to a digital asset wallet that is connected to the internet. The wallet’s assets are therefore held online, as opposed to a cold wallet, which is held in an offline environment.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Layer 1” refers to a blockchain protocol (e.g., Bitcoin or Ethereum) that is independently responsible for network security, consensus, and transaction settlement. Layer 1 networks provide the foundational architecture on which decentralized applications can directly operate.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Layer 2” refers to a secondary protocol that utilizes settlement capabilities of another network (i.e., a Layer 1 blockchain) to ensure finality. Layer 2 protocols are designed to scale or augment the blockchain network; for example to reduce transaction latency, or increase transaction throughput. Layer 2 solutions process transactions independently but then settle them back on Layer 1, thereby reducing congestion and fees on the base network. Some Layer 2 solutions are general purpose blockchains like Arbitrum or the Optimism network while others are specialized payment protocols like the Bitcoin Lightning Network.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Miner” refers to a blockchain network participant that creates blocks of transactions for inclusion in the blockchain using a proof-of-work consensus mechanism. Miners use computing power to compete with one another to be the first to solve a mathematical puzzle and, thereby, be selected by the protocol to create new blocks in the blockchain for inclusion in the distributed ledger maintained by the nodes. In return for their efforts, miners are rewarded with the cryptocurrency native to that blockchain.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Mining” refers to the process of using computing power on a proof-of-work blockchain protocol to solve a mathematical puzzle by trial and error in order to win the right to add a block to the network’s blockchain. Mining also results in the creation of new tokens, which miners earn as a reward for their efforts.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Multi-party computation” or “MPC” refers to a cryptographic approach that allows multiple entities to jointly compute a function without revealing their individual inputs. In blockchain and digital asset contexts, MPC is often used to secure private keys by splitting them across parties or devices, enhancing security and reducing single points of failure. MPC combines the security of cold wallets with the convenience of hot wallets by splitting private keys into multiple parts and distributing them across different locations or devices, reducing the risk of compromise.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Multi-signature technology” refers to a security mechanism requiring multiple private keys to authorize a single blockchain transaction. By requiring approval authority across multiple parties, multi-signature contracts can reduce the risk posed by a single compromised key or user.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13"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Node” refers to a device that can connect to a blockchain via a peer-to-peer network and verify incoming blocks and transactions as well as broadcast transactions back to the network.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Non-fungible token” or “NFT” refers to a type of cryptographic token that represents a unique digital asset that cannot be exchanged for another type of digital asset. This characteristic is in contrast to cryptocurrencies like BTC that are fungible in nature. NFTs are created via smart contract technology and are classified with token standards that vary based on the blockchain protocol they utilize.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Onchain” refers to activities or data that are directly recorded and executed on a blockchain network.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Protocol” refers to software establishing how computers within a given network communicate with one another. In the cryptoeconomy, the term is often used as a shorthand for blockchain protocol, such as the Bitcoin or Ethereum protocols.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Private key” refers to a string of alphanumeric characters that allows a person to access and manage their digital assets in a digital wallet or other custodial solution, similar to a password. All private keys have a unique corresponding public key.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Public key” refers to a cryptographic code that corresponds with a private key and allows for derivation of a blockchain address. Public keys bind control of blockchain addresses to secret private keys. This binding allows for transparent sending of assets to a public address while also ensuring exclusive control by the holder of the private key.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Smart contract” refers to a software program that self-executes on nodes in a blockchain network. Smart contracts allow for transparent terms, execution and ultimately transactions between parties in a blockchain network.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Service Organization Control 1 Report” or “SOC 1” refers to an independent evaluation that examines a company’s internal controls related to financial reporting. In the digital asset industry, obtaining a SOC 1 report may help demonstrate that a platform has effective processes in place to ensure accurate and reliable financial operations. As discussed below, we have completed SOC 1 examinations.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Service Organization Control 2 Report” or “SOC 2” refers to an independent evaluation that assesses a company’s controls related to security, availability, and confidentiality of customer or user data. In the digital asset industry, obtaining a SOC 2 report may help demonstrate that a platform has implemented effective measures to protect user information and ensure system reliability. As discussed below, we have completed SOC 2 examinations.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Solana” refers to a smart contract-enabled blockchain protocol that aims to natively solve many of the scaling and throughput issues faced by other Layer 1 blockchain networks.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solana” or “SOL” refers to the native digital asset of the Solana network, and is used to pay for fees on the Solana network and reward validators on the network. Solana’s users can also stake SOL in order to become a blockchain node.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Stablecoin” refers to a digital asset that is expected to have a stable price relative to another asset such as fiat currency or a commodity (such as precious metals or industrial metals).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Staking” refers to the process through which a blockchain network user ‘stakes’ or locks their cryptocurrency assets on a network as part of the consensus mechanism, which is designed to ensure reliable production of blocks. Blockchain networks incentivize staking participation rates via payment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14"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rewards to active validators. Each blockchain project which incorporates a staking feature has its own policies for staking requirements and withdrawal restrictions.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User” refers to an individual or institution that has registered on our platform. As used in this Annual Report on Form 10-K, it is synonymous with customer.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Validator” refers to a blockchain network participant responsible for verifying and including transactions on the blockchain. Each blockchain protocol has its own parameters for what constitutes an acceptable validator and how validators operate. Typically, validators compete to be the one selected by the blockchain protocol to validate transactions. Most decentralized blockchain networks rely on some form of validator node to process onchain transactions in a permissionless and distributed manner.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Wallet” refers to a software that accesses a users’ private key and history of transactions, thus allowing them to interact with a blockchain and to send and receive digital assets. Wallets are software that can be run on a personal computer, server, or mobile device.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Web3” or “Web 3.0” refers to decentralized applications running on the blockchain, where users can participate without the need for centralized intermediaries, offering the ability to maintain one’s privacy and ownership of data.</w:t>
      </w:r>
    </w:p>
    <w:p>
      <w:pPr>
        <w:pStyle w:val="TextBody"/>
        <w:bidi w:val="0"/>
        <w:spacing w:lineRule="auto" w:line="288" w:before="0" w:after="0"/>
        <w:ind w:left="0" w:right="0" w:firstLine="720"/>
        <w:jc w:val="both"/>
        <w:rPr/>
      </w:pPr>
      <w:r>
        <w:rPr>
          <w:rFonts w:ascii="Times New Roman;serif" w:hAnsi="Times New Roman;serif"/>
          <w:b w:val="false"/>
          <w:color w:val="000000"/>
          <w:sz w:val="20"/>
        </w:rPr>
        <w:t>For additional information regarding our key business metrics, which include Monthly Transacting Users (“MTUs”), Lifetime Transacting Users (“LTUs”), Card Sign-Ups, Trading Volume, and Assets on Platform, as well as our use of Adjusted EBITDA, a non-GAAP financial measure, see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in Part II, Item 7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15"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that reflect our current views with respect to, among other things, future events and our future business, operating results, financial condition, prospects, the impact of potential acquisitions and dispositions, and our strategy for growth.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phrases or other comparable words or phrases of a future or forward-looking nature. These forward-looking statements are not statements of historical fact, and are based on current expectations, estimates, and projections about our industry as well as certain assumptions made by management, many of which, by their nature, are inherently uncertain and beyond our control. Forward-looking statements contained in this Annual Report on Form 10-K include, but are not limited to, statements about: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future financial performance, including our expectations regarding our net revenue, operating expenses, and our ability to achieve and maintain future profitability;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effectively manage our growth;</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anticipated trends, growth rates, and challenges in our business, the cryptoeconomy, and in the markets in which we operate;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market acceptance of our products and services;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objectives for future operations;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further penetrate our existing user base and maintain and expand our user base;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develop new products and services and grow our business in response to changing technologies, user demand, and competitive pressures;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expectations concerning relationships with third parties;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maintain, protect, and enhance our intellectual property;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effects of increased competition in our markets and our ability to compete effectively;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future acquisitions of or investments in complementary companies, products, services, or technologies and our ability to successfully integrate such companies or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comply with laws and regulations that currently apply or become applicable to our business both in the United States and internationally;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economic and industry trends, projected growth, or trend analysis;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trends in revenue, cost of revenue, and gross margin;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trends in operating expenses, including technology expenses, sales and marketing expenses, and general and administrative expenses, and expectations regarding these expenses;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statements regarding our future operations, financial condition, and prospects and business strategies.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16"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 this Annual Report on Form 10-K are only predictions and are based largely on our current expectations and projections about future events and trends that we believe may affect our business strategy, operating results, financial condition, short-term and long-term business operations and objectives, and financial needs. These forward-looking statements speak only as of the date of this Annual Report on Form 10-K and are subject to a number of known and unknown risks, uncertainties and assumptions, including described in the section titled “Risk Factors” in Part I, Item 1A of this Annual Report on Form 10-K.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Annual Report on Form 10-K, except as required by law.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should read this Annual Report on Form 10-K and the documents that we reference in this Annual Report on Form 10-K completely and with the understanding that our actual future results may be materially different from what we expect. We qualify all of the forward-looking statements in this Annual Report on Form 10-K by the cautionary statements contained in this section and elsewhere in this Annual Report on Form 10-K.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all references in this Annual Report on Form 10-K to “Gemini,”</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the “Corporation,” “we,” “our,” “us,” or similar terms refer to Gemini Space Station, Inc. and 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17"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Gemini Overview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mission is to build the bridge to the future of money and markets. Gemini is a trusted cryptocurrency platform building secure financial infrastructure for the next generation of money and markets, providing access for individuals and institutions to a financial future that is more open, fair, and secure.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 xml:space="preserve">Gemini was founded in 2014 to be the most trusted, secure, and easy way to buy, sell, and store crypto assets. As of December 31, 2025, we served users and institutions across more than 60 countries. In February 2026, we announced plans to exit and wind down operations in certain international markets, including the United Kingdom, the European Union (“E.U.”) and other European jurisdictions, and Australia, which will reduce our international footprint and allow us to focus more resources on our operations in the United States. See </w:t>
      </w:r>
      <w:r>
        <w:rPr>
          <w:rFonts w:ascii="Times New Roman;serif" w:hAnsi="Times New Roman;serif"/>
          <w:b w:val="false"/>
          <w:i/>
          <w:color w:val="000000"/>
          <w:sz w:val="20"/>
        </w:rPr>
        <w:t xml:space="preserve">Note 23. Subsequent Events - Exit and Wind-Down Plan </w:t>
      </w:r>
      <w:r>
        <w:rPr>
          <w:rFonts w:ascii="Times New Roman;serif" w:hAnsi="Times New Roman;serif"/>
          <w:b w:val="false"/>
          <w:color w:val="000000"/>
          <w:sz w:val="20"/>
        </w:rPr>
        <w:t>to our audited consolidated financial statements included elsewhere in this Annual Report on Form 10-K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founding, we have expanded from a core crypto exchange into a more comprehensive platform for engaging with not only the cryptoeconomy, but markets generally. Our products and services include spot and derivatives trading, staking, an over-the-counter (“OTC”) trading desk, institutional-grade custody, a New York Department of Financial Services (“NYDFS”)-regulated stablecoin (GUSD), a U.S. credit card, and a prediction markets platform. We are building Gemini as an integrated platform with shared infrastructure for both money and markets and we intend to serve our users through a unified, multi-product experience.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we launched Gemini Predictions™, a U.S. Commodity Futures Trading Commission (“CFTC”)-regulated prediction markets platform offered through our affiliate Gemini Titan, LLC (“Gemini Titan”), which holds a Designated Contract Market (“DCM”) license. Gemini Predictions enables users to trade event contracts on outcomes ranging from crypto price movements to elections, sports, and cultural events. We believe prediction markets are a natural extension of our platform, expanding the range of outcomes users can trade while building on the security, regulatory compliance, and trading infrastructure we have developed over the past decade.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previously operated Nifty Gateway, a digital art and NFT marketplace. In January 2026, we discontinued Nifty Gateway to focus on our core exchange and prediction markets businesses.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founding, we have sought to adhere to high standards of security, regulation, and compliance. We operate exchanges through regulated entities in the United States and abroad. In addition, we offer digital asset custody services through Gemini Trust, a New York limited purpose trust company. All customer assets are held in full on our platform, ensuring every unit of cryptocurrency or fiat held by a user is available to the user. We hold money transmitter licenses (“MTLs”) or the statutory equivalent in all states that require such licenses so that we are able to operate in all 50 states and have direct access to fiat banking rails.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crypto-native technology stack at the core of our platform enables us to support advanced functionality and complex blockchain integrations while serving the demands of a global, 24/7/365 crypto market. Our proprietary, in-house custody solutions enable us to offer products that are both secure and easy to use. We have completed SOC 1 Type 2, SOC 2 Type 2, and ISO 27001 examinations, reflecting our commitment to institutional-grade security standards.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revenue primarily from transaction fees on trading volume across our retail and institutional platforms, as well as fees from services and interest income associated with custody, staking, our credit card program and other services. For a discussion of our results of operations, see Part II, Item 7.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18"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Platform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platform is designed as a comprehensive and trusted bridge to the cryptoeconomy and other market-based financial products, enabling users to trade, custody, and earn across a wide range of digital assets and offerings. Our products and services address core aspects of our users' crypto journeys, whether they are experienced traders or new to the space.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platform is focused on a centralized suite of products and services that, together, support trading, custody, rewards, and broader market participation, including, in particular, the following core elements: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Trade &amp; Invest</w:t>
      </w:r>
      <w:r>
        <w:rPr>
          <w:rFonts w:ascii="Times New Roman;serif" w:hAnsi="Times New Roman;serif"/>
          <w:b w:val="false"/>
          <w:color w:val="000000"/>
          <w:sz w:val="20"/>
        </w:rPr>
        <w:t>: Our platform enables users to buy, sell, and trade a wide range of digital assets through an intuitive trading experience. Gemini ActiveTrader® offers advanced charting, multiple order types, and the ability to monitor and execute across multiple markets simultaneously. Gemini Derivatives allows users to trade perpetual contracts with cross-collateralization for risk and capital management. Through Gemini Predictions™, users can trade event contracts on outcomes ranging from crypto price movements to elections, sports, and cultural events, expanding the range of markets available on our platform.</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Custody</w:t>
      </w:r>
      <w:r>
        <w:rPr>
          <w:rFonts w:ascii="Times New Roman;serif" w:hAnsi="Times New Roman;serif"/>
          <w:b w:val="false"/>
          <w:color w:val="000000"/>
          <w:sz w:val="20"/>
        </w:rPr>
        <w:t>: Our secure custody solutions safeguard user assets using offline cold storage, geographically distributed Hardware Security Modules (HSMs), and multi-party computation (MPC) technology. As a fiduciary and qualified custodian operating through Gemini Trust, a New York limited purpose trust company, we offer institutional-grade custody with segregated wallet structures for users who require separate storage of their digital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Earn: </w:t>
      </w:r>
      <w:r>
        <w:rPr>
          <w:rFonts w:ascii="Times New Roman;serif" w:hAnsi="Times New Roman;serif"/>
          <w:b w:val="false"/>
          <w:color w:val="000000"/>
          <w:sz w:val="20"/>
        </w:rPr>
        <w:t>Users can earn crypto rewards through multiple channels on our platform. The Gemini Credit Card® allows users to earn crypto rewards on everyday purchases anywhere Mastercard is accepted, with rewards automatically deposited into their Gemini account. Users can also earn through staking supported digital assets and through rewards on eligible balances held on the platform.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platform is built on a commitment to being the most trusted brand in crypto. We believe the following pillars underpin that position: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Licensing</w:t>
      </w:r>
      <w:r>
        <w:rPr>
          <w:rFonts w:ascii="Times New Roman;serif" w:hAnsi="Times New Roman;serif"/>
          <w:b w:val="false"/>
          <w:color w:val="000000"/>
          <w:sz w:val="20"/>
        </w:rPr>
        <w:t>: We were one of the first crypto exchanges to receive a license from the NYDFS, and we hold multiple other licenses in the U.S., Europe, and Singapore.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Compliance</w:t>
      </w:r>
      <w:r>
        <w:rPr>
          <w:rFonts w:ascii="Times New Roman;serif" w:hAnsi="Times New Roman;serif"/>
          <w:b w:val="false"/>
          <w:color w:val="000000"/>
          <w:sz w:val="20"/>
        </w:rPr>
        <w:t>: Our robust compliance framework includes comprehensive KYC and market surveillance processes. We conduct transaction monitoring to ensure a high level of compliance. Our staff undergoes regular BSA and AML compliance training, reinforcing our commitment to maintaining a secure and compliant platform.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Security</w:t>
      </w:r>
      <w:r>
        <w:rPr>
          <w:rFonts w:ascii="Times New Roman;serif" w:hAnsi="Times New Roman;serif"/>
          <w:b w:val="false"/>
          <w:color w:val="000000"/>
          <w:sz w:val="20"/>
        </w:rPr>
        <w:t>: Our infrastructure features geographically distributed Hardware Security Modules (“HSM”) supporting cold storage, as well as MPC technology. We hold certifications including SOC 1 Type 2, SOC 2 Type 2, and ISO 27001, which reflect our adherence to rigorous security standards. We are one of the world’s first crypto asset custodians and exchanges to have completed both SOC 1 Type 2 and SOC 2 Type 2 examinations.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Technology</w:t>
      </w:r>
      <w:r>
        <w:rPr>
          <w:rFonts w:ascii="Times New Roman;serif" w:hAnsi="Times New Roman;serif"/>
          <w:b w:val="false"/>
          <w:color w:val="000000"/>
          <w:sz w:val="20"/>
        </w:rPr>
        <w:t>: We have a team of engineers with deep crypto expertise that built our crypto native platform and continue to be at the forefront of innovation.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19"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Users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Our platform is designed to meet the needs of any individual or institution seeking to engage with the cryptoeconomy. As of December 31, 2025, we served users across more than 60 countries, with the majority located in the United States and a smaller presence in Asia-Pacific and Europe. In February 2026, we announced plans to exit and wind down operations in certain international markets, including the United Kingdom, the European Union and other European jurisdictions, and Australia, which will reduce our international footprint and allow us to focus more resources on our operations in the United States. See </w:t>
      </w:r>
      <w:r>
        <w:rPr>
          <w:rFonts w:ascii="Times New Roman;serif" w:hAnsi="Times New Roman;serif"/>
          <w:b w:val="false"/>
          <w:i/>
          <w:color w:val="000000"/>
          <w:sz w:val="20"/>
        </w:rPr>
        <w:t xml:space="preserve">Note 23. Subsequent Events - Exit and Wind-Down Plan </w:t>
      </w:r>
      <w:r>
        <w:rPr>
          <w:rFonts w:ascii="Times New Roman;serif" w:hAnsi="Times New Roman;serif"/>
          <w:b w:val="false"/>
          <w:color w:val="000000"/>
          <w:sz w:val="20"/>
        </w:rPr>
        <w:t>to our audited consolidated financial statements included elsewhere in this Annual Report on Form 10-K. For information on MTUs, geographic distribution, and the regulated entities serving users in each region, see “</w:t>
      </w:r>
      <w:r>
        <w:rPr>
          <w:rFonts w:ascii="Times New Roman;serif" w:hAnsi="Times New Roman;serif"/>
          <w:b w:val="false"/>
          <w:i/>
          <w:color w:val="000000"/>
          <w:sz w:val="20"/>
        </w:rPr>
        <w:t>Key Business Metrics</w:t>
      </w:r>
      <w:r>
        <w:rPr>
          <w:color w:val="000000"/>
        </w:rPr>
        <w:t xml:space="preserve">” </w:t>
      </w:r>
      <w:r>
        <w:rPr>
          <w:rFonts w:ascii="Times New Roman;serif" w:hAnsi="Times New Roman;serif"/>
          <w:b w:val="false"/>
          <w:color w:val="000000"/>
          <w:sz w:val="20"/>
        </w:rPr>
        <w:t>in Part II, Item 7 and “</w:t>
      </w:r>
      <w:r>
        <w:rPr>
          <w:rFonts w:ascii="Times New Roman;serif" w:hAnsi="Times New Roman;serif"/>
          <w:b w:val="false"/>
          <w:i/>
          <w:color w:val="000000"/>
          <w:sz w:val="20"/>
        </w:rPr>
        <w:t>Government Regulations</w:t>
      </w:r>
      <w:r>
        <w:rPr>
          <w:color w:val="000000"/>
        </w:rPr>
        <w:t xml:space="preserve">” </w:t>
      </w:r>
      <w:r>
        <w:rPr>
          <w:rFonts w:ascii="Times New Roman;serif" w:hAnsi="Times New Roman;serif"/>
          <w:b w:val="false"/>
          <w:color w:val="000000"/>
          <w:sz w:val="20"/>
        </w:rPr>
        <w:t>below.</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Retail:</w:t>
      </w:r>
      <w:r>
        <w:rPr>
          <w:color w:val="000000"/>
        </w:rPr>
        <w:t xml:space="preserve"> </w:t>
      </w:r>
      <w:r>
        <w:rPr>
          <w:rFonts w:ascii="Times New Roman;serif" w:hAnsi="Times New Roman;serif"/>
          <w:b w:val="false"/>
          <w:color w:val="000000"/>
          <w:sz w:val="20"/>
        </w:rPr>
        <w:t>We often serve as a primary gateway for individual retail users into the cryptoeconomy. We provide a user-friendly, secure platform and mobile app for users to buy, sell, store, stake, and transfer a variety of crypto assets. Our products aim to suit the needs of beginners and sophisticated users alike.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Institutional:</w:t>
      </w:r>
      <w:r>
        <w:rPr>
          <w:color w:val="000000"/>
        </w:rPr>
        <w:t xml:space="preserve"> </w:t>
      </w:r>
      <w:r>
        <w:rPr>
          <w:rFonts w:ascii="Times New Roman;serif" w:hAnsi="Times New Roman;serif"/>
          <w:b w:val="false"/>
          <w:color w:val="000000"/>
          <w:sz w:val="20"/>
        </w:rPr>
        <w:t>We provide institutional investors, including asset managers, hedge funds, proprietary trading firms, and corporations with a robust and secure platform to access crypto markets. We offer advanced trading, OTC trading, and institutional-grade custody.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Competitive Strengths of Our Platform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 Trusted Brand in Crypto</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our founding, we have sought to adhere to high standards of security, regulation, and compliance, which has established us as a trusted platform for both retail and institutional users. Despite the challenges inherent in operating in an industry with a substantial degree of regulatory uncertainty, we strive to proactively adhere to the standards set by regulatory authorities worldwide, and we believe we are well positioned to continue to conform to new regulatory changes globally. We hold all MTLs or the statutory equivalent in all states that require such licenses so that we are able to operate in all 50 states in the United States, and we have direct access to fiat banking rails. This foundation of trust and market leadership makes Gemini a leading platform for users seeking a regulated crypto service provider.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Relentless Commitment to our Users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commitment to users extends beyond our platform's security and compliance. We focus on delivering reliable service, responsive support, and continuous product improvement. We believe this user-first approach has built a loyal community that drives organic growth and reinforces our position as a trusted brand.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Purpose-Built and Vertically-Integrated Platform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Gemini is a crypto-native, vertically-integrated platform. Unlike competitors that require users to navigate multiple apps or providers for trading, custody, and rewards, we offer a unified, multi-product experience that we intend to function as a superapp. Our single platform integrates spot and derivatives trading (where permitted), staking, the Gemini Credit Card®, Gemini Predictions™, and self-custody wallet functionality. We believe this integrated approach, through its shared infrastructure, reduces friction, increases user engagement, and differentiates us in a market that remains fragmented across custody, trading, stablecoin, and rewards providers.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20"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History of Product Innovation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pride ourselves on continuous innovation and have a long history of pioneering new products in crypto. In 2016, we became the world’s first licensed exchange to list ether. In 2018, we released one of the world’s first regulated stablecoins. In 2020, we became the first crypto exchange to support hardware security keys on mobile apps. In 2021, we became one of the world’s first crypto asset custodians and exchanges to have completed both SOC 1 Type 2 and SOC 2 Type 2 examinations. And in 2022, we launched the Gemini Credit Card® in partnership with Mastercard to offer instantaneous crypto rewards with no annual or exchange fees—one of the only credit cards of its kind. Most recently, in December 2025, we launched Gemini Predictions™, a CFTC-regulated prediction markets platform. We remain committed to expanding the products and markets available on our platform.</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Founder-Led and Mission Driven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founders, Tyler and Cameron Winklevoss, are at the center of everything Gemini does. Tyler and Cameron were early believers in the crypto movement, investing in bitcoin amounting to approximately 1% of all bitcoin in circulation over a decade ago, and they have been at the forefront of crypto innovation ever since. Our executive team has an extensive track record of founding and building successful ventures, along with operating experience at blue-chip financial services and technology firms. We believe this depth of experience gives our executive team an edge for both embracing disruptive technologies as they emerge and building a foundation of compliance and security that positions Gemini for long-term success.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Growth Strategies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majority of our revenue is generated through transaction fees on our platform. To grow our business, we focus on deepening engagement with our users, acquiring and retaining high-value users, enhancing our trading capabilities, and diversifying our markets and asset classes. Outside of these organic growth strategies, we also regularly evaluate investment and acquisition opportunities that may help drive growth.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Deepening User Engagement and Acquiring High-Value Users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focused on growing the value of our user base through targeted acquisition, strong retention, and continued product development, while remaining focused on improving our platform experience:</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Acquire and retain high-value retail users: </w:t>
      </w:r>
      <w:r>
        <w:rPr>
          <w:rFonts w:ascii="Times New Roman;serif" w:hAnsi="Times New Roman;serif"/>
          <w:b w:val="false"/>
          <w:color w:val="000000"/>
          <w:sz w:val="20"/>
        </w:rPr>
        <w:t>We focus on efficient user acquisition strategies that target active traders and long-term investors. We are implementing targeted marketing and outreach initiatives to improve sign-up and conversion rates, and continue to differentiate ourselves through a high-touch service approach and reliable platform experience.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Acquire new and retain existing institutional users: </w:t>
      </w:r>
      <w:r>
        <w:rPr>
          <w:rFonts w:ascii="Times New Roman;serif" w:hAnsi="Times New Roman;serif"/>
          <w:b w:val="false"/>
          <w:color w:val="000000"/>
          <w:sz w:val="20"/>
        </w:rPr>
        <w:t>We have a dedicated sales force that focuses on increasing the number of institutional users on our platform. We are deepening relationships with key industry stakeholders including developers, blockchain projects, and corporate partners. This includes expanding our strategic distribution partnerships with companies and developing relationships with companies looking to hold crypto assets on their balance sheets. These strategic distribution partnerships generally involve revenue-sharing arrangements based on institutional trading volume, co-marketing efforts to jointly promote our platforms, and technology integrations that streamline user access to our services. We have a renewed focus on targeting client segments through being more present at industry conferences and events.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Focus on user experience:</w:t>
      </w:r>
      <w:r>
        <w:rPr>
          <w:color w:val="000000"/>
        </w:rPr>
        <w:t xml:space="preserve"> </w:t>
      </w:r>
      <w:r>
        <w:rPr>
          <w:rFonts w:ascii="Times New Roman;serif" w:hAnsi="Times New Roman;serif"/>
          <w:b w:val="false"/>
          <w:color w:val="000000"/>
          <w:sz w:val="20"/>
        </w:rPr>
        <w:t>We believe our user experience is core to our identity and we strive for continual improvement. We regularly work to improve the quality of our orderbooks and liquidity across listed tokens, solicit feedback from users, and seek to offer superior user service at all times.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21"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Enhancing Trading Capabilities for Active Users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better serve active traders and investors, we are focused on strengthening our exchange infrastructure, growing our derivatives and prediction markets offerings, and improving cross-product engagement: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Invest in our core exchange infrastructure: </w:t>
      </w:r>
      <w:r>
        <w:rPr>
          <w:rFonts w:ascii="Times New Roman;serif" w:hAnsi="Times New Roman;serif"/>
          <w:b w:val="false"/>
          <w:color w:val="000000"/>
          <w:sz w:val="20"/>
        </w:rPr>
        <w:t>We continually invest in our exchange infrastructure to support high-volume, real-time global operations. We continue to improve the speed and efficiency with which we onboard new assets and markets.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Grow derivatives, margin, and prediction markets:</w:t>
      </w:r>
      <w:r>
        <w:rPr>
          <w:color w:val="000000"/>
        </w:rPr>
        <w:t xml:space="preserve"> </w:t>
      </w:r>
      <w:r>
        <w:rPr>
          <w:rFonts w:ascii="Times New Roman;serif" w:hAnsi="Times New Roman;serif"/>
          <w:b w:val="false"/>
          <w:color w:val="000000"/>
          <w:sz w:val="20"/>
        </w:rPr>
        <w:t>Gemini’s derivatives exchange allows eligible users to leverage their crypto assets to achieve long or short crypto exposure in order to manage risk, generate returns, and gain directional exposure. The exchange offers users a capital-efficient, highly available, and trusted venue to trade derivatives with no expiry on traded perpetual contracts. In 2025, we expanded our trading capabilities with the launch of margin trading, which enables eligible users to trade with up to 5x leverage, and Gemini Predictions™, a CFTC-regulated platform for trading event contracts on outcomes ranging from crypto prices to elections, sports, and cultural events. We expect continued product development and additional listings to drive volume across these offerings.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Improve cross-product engagement: </w:t>
      </w:r>
      <w:r>
        <w:rPr>
          <w:rFonts w:ascii="Times New Roman;serif" w:hAnsi="Times New Roman;serif"/>
          <w:b w:val="false"/>
          <w:color w:val="000000"/>
          <w:sz w:val="20"/>
        </w:rPr>
        <w:t>We anticipate that increasing the number of multi-product users will lead to increased engagement, Trading Volumes, and retention of users.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Diversifying Markets and Assets Available on Our Platform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selectively evaluate new tokens, markets, and assets based on user demand, regulatory clarity, and strategic fit.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Crypto assets: </w:t>
      </w:r>
      <w:r>
        <w:rPr>
          <w:rFonts w:ascii="Times New Roman;serif" w:hAnsi="Times New Roman;serif"/>
          <w:b w:val="false"/>
          <w:color w:val="000000"/>
          <w:sz w:val="20"/>
        </w:rPr>
        <w:t>We currently support a broad range of crypto assets on our platform, including bitcoin, ether, and stablecoins. We maintain a digital asset listing and custody framework that governs the process for evaluating whether to support a digital asset for custody and/or trading, which was subject to review by, and developed in accordance with, the NYDFS. Under this framework, there are a number of factors that we consider, including, but not limited to, a digital asset’s maturity, its relative liquidity, market demand, utility (including the asset’s technical design and intended use), regulatory and legal considerations, and potential risks related to cybersecurity, illicit finance, and concentration of control. We remain committed to growing the number and type of assets on our platform as the cryptoeconomy evolves, and providing users with seamless access to the latest networks without compromising safety or reliability.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New markets and asset classes: </w:t>
      </w:r>
      <w:r>
        <w:rPr>
          <w:rFonts w:ascii="Times New Roman;serif" w:hAnsi="Times New Roman;serif"/>
          <w:b w:val="false"/>
          <w:color w:val="000000"/>
          <w:sz w:val="20"/>
        </w:rPr>
        <w:t>We believe users increasingly expect a single platform where they can trade across asset types. The launch of Gemini Predictions™ in December 2025 marked our expansion beyond crypto into event contracts, and we continue to evaluate opportunities to offer additional products and markets, including U.S. equities, tokenized securities, perpetual futures and other derivatives, subject to applicable law, regulatory approvals, and market demand.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Diversifying the markets and assets available on our platform supports user engagement and broadens our revenue base.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Opportunistic Inorganic Growth</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Beyond our organic growth initiatives, we also regularly evaluate investment and acquisition opportunities that may help drive growth inorganically. Gemini Frontier Fund is Gemini’s strategic venture arm focused on growing the crypto ecosystem through investment in early-stage crypto projects and startups. Gemini Frontier Fund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22"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invests broadly across all sectors, blockchain networks, geographies, and organizational structures in an effort to help foster innovation and usher in the promise of crypto. Our portfolio focuses on what we consider to be the next generation of builders and visionaries who are pushing the boundaries of what is possible in crypto.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also made several acquisitions in the past to bring new capabilities to our platform and will continue to thoughtfully explore new opportunities that we believe are complementary to the Gemini platform. We remain hyper-focused on building our own suite of products but are continually inspired by the innovations of others.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Products and Services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platform serves as a bridge for users to cryptoeconomy and onchain applications. We offer a comprehensive platform of exchange-based products and services and a growing number of crypto-linked products. Our platform is designed to provide a trusted, secure, and easy way to buy, sell, store, stake, and collect within the cryptoeconomy, for both retail and institutional users.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diversified product platform includes: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Exchange: </w:t>
      </w:r>
      <w:r>
        <w:rPr>
          <w:rFonts w:ascii="Times New Roman;serif" w:hAnsi="Times New Roman;serif"/>
          <w:b w:val="false"/>
          <w:color w:val="000000"/>
          <w:sz w:val="20"/>
        </w:rPr>
        <w:t>Our platform empowers users to seamlessly buy and sell a wide range of crypto assets through an intuitive trading experience, comparable to traditional brokers and exchanges. The Gemini Exchange® is designed with a simple, user-friendly interface that users can use to navigate the market with confidence. For more advanced traders, our Gemini ActiveTrader® product features advanced charting and multiple order types for more complex trading needs. Within ActiveTrader is our Gemini Derivatives offering, which allows users to achieve long or short crypto exposure in order to manage risk, generate returns, and gain directional exposure by trading perpetual contracts and manage risk and capital through features such as cross collateral.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Gemini Instant Liquidity Provider (“GILP”) facilitates the execution of instant orders on our exchange platform. When a user initiates an order, GILP provides a firm quote that is sourced from our Central Limit Order Book, developed using our own proprietary technology. We accept orders on behalf of users using standard price and time priority. When users’ orders match on our exchange, the transaction is immediately settled and the settled assets are available to users for trade or withdrawal.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exchange platform is offered to users on both mobile and web where we offer two modes, Gemini and Gemini ActiveTrader. We also offer a broad range of WebSocket, REST and FIX application programming interfaces that allow users to connect to our platform and power real-time data streaming and automated, high speed trading capabilities for both retail, protail, and institutional customers. These user interfaces are available to all users (with exception of FIX), however, our Gemini products are aimed at our retail users and our ActiveTrader product is more appropriate for more sophisticated trading strategies employed by institutions and protail traders.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OTC:</w:t>
      </w:r>
      <w:r>
        <w:rPr>
          <w:color w:val="000000"/>
        </w:rPr>
        <w:t xml:space="preserve"> </w:t>
      </w:r>
      <w:r>
        <w:rPr>
          <w:rFonts w:ascii="Times New Roman;serif" w:hAnsi="Times New Roman;serif"/>
          <w:b w:val="false"/>
          <w:color w:val="000000"/>
          <w:sz w:val="20"/>
        </w:rPr>
        <w:t>Alongside our exchange offerings, Gemini electronic OTC (“eOTC”) and voice OTC present users with an over-the-counter trading platform built for a seamless trading experience that is either automated (eOTC) or conducted over the phone (voice OTC). Our OTC offerings provide real-time visibility into changing asset prices as well as the status and execution details of placed orders. Large-scale orders may be placed through Gemini eOTC or voice OTC for immediate execution while incurring minimal transaction costs. Trading is accompanied by delayed net settlement, maximizing capital efficiency. Pricing is sourced from the top liquidity providers for tight spreads and deep liquidity. When an order is placed, it is executed using the best price across those providers, ensuring optimal price execution.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6840"/>
                <wp:effectExtent l="0" t="0" r="0" b="0"/>
                <wp:wrapNone/>
                <wp:docPr id="23"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Custody</w:t>
      </w:r>
      <w:r>
        <w:rPr>
          <w:rFonts w:ascii="Times New Roman;serif" w:hAnsi="Times New Roman;serif"/>
          <w:b w:val="false"/>
          <w:color w:val="000000"/>
          <w:sz w:val="20"/>
        </w:rPr>
        <w:t>: Security is paramount when it comes to digital assets. We provide highly secure custody solutions that safeguard our users’ assets. As a qualified custodian we believe our custody services are on par with those offered by traditional financial institutions. Our secure custody infrastructure features geographically distributed HSM supporting cold storage with advanced multi-signature technology, as well as MPC technology. We hold certifications including SOC 1 Type 2, SOC 2 Type 2, and ISO 27001, which reflect our adherence to rigorous security standards. Gemini is one of the world’s first crypto asset custodians and exchanges to have completed both SOC 1 Type 2 and SOC 2 Type 2 examinations.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Stablecoin</w:t>
      </w:r>
      <w:r>
        <w:rPr>
          <w:rFonts w:ascii="Times New Roman;serif" w:hAnsi="Times New Roman;serif"/>
          <w:b w:val="false"/>
          <w:color w:val="000000"/>
          <w:sz w:val="20"/>
        </w:rPr>
        <w:t>: Gemini dollar (GUSD) is our U.S. dollar-backed stablecoin, which combines the creditworthiness and price stability of the U.S. dollar with the speed and efficiency of cryptocurrency to create a digital representation of cash that can be used to interact with the cryptoeconomy. GUSD, one of the world’s first regulated stablecoins, has been fully regulated by the NYDFS since 2018. Every GUSD in circulation is backed on a 1:1 exchange basis—with no conversion fees—using cash or cash equivalents held across bank accounts, money market funds, and U.S. Treasury bills. The NYDFS has issued public guidance, dated June 8, 2022, describing its supervisory expectations for NYDFS-regulated stablecoin issuers, including that stablecoins issued under NYDFS supervision be fully backed by a reserve of assets consisting only of short-term U.S. Treasury bills, specified reverse repurchase agreements, government money-market funds, and deposit accounts at U.S. depository institutions; that stablecoin issuers adopt clear, conspicuous redemption policies that confer on any lawful holder a right to redeem stablecoins at par in a timely manner; and monthly and annual attestation as to the stablecoin issuer’s reserves and compliance policies. Reserve asset attestations are published monthly by an independent registered accounting firm and our investment of reserve funds are ultimately overseen by our Chief Financial Officer, with certain operational functions performed by the Treasury team in consultation with the Legal Team.</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Staking</w:t>
      </w:r>
      <w:r>
        <w:rPr>
          <w:rFonts w:ascii="Times New Roman;serif" w:hAnsi="Times New Roman;serif"/>
          <w:b w:val="false"/>
          <w:color w:val="000000"/>
          <w:sz w:val="20"/>
        </w:rPr>
        <w:t>: We offer innovative ways for our users to grow their crypto holdings and participate in blockchain networks. With Gemini Staking, both retail and institutional users are able to accrue rewards by delegating their crypto assets to staking pools that participate in validating transactions on proof-of-stake networks. With Gemini Staking, users can currently stake ether (ETH), solana (SOL), and monad (MON) with no minimum amount, and rewards determined by the applicable network and shared proportionally among participants. Staking is currently available to users in the United States (excluding New York) and in certain international markets. In January 2026, we received regulatory approval to offer staking services in New York and launched in that jurisdiction in February.</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Credit Card: </w:t>
      </w:r>
      <w:r>
        <w:rPr>
          <w:rFonts w:ascii="Times New Roman;serif" w:hAnsi="Times New Roman;serif"/>
          <w:b w:val="false"/>
          <w:color w:val="000000"/>
          <w:sz w:val="20"/>
        </w:rPr>
        <w:t xml:space="preserve">We have partnered with WebBank and Mastercard to offer an industry-leading crypto credit card, The Gemini Credit Card®, which allows users to earn crypto rewards on every purchase. Rewards are available in bitcoin, ether, solana, and over 50 other crypto currencies offered on Gemini. Crypto rewards are instantly deposited into the user’s Gemini account when the purchase occurs, so users can immediately gain market exposure to the crypto asset. This serves as a way for consumers to invest in bitcoin and other crypto assets without changing their existing spending behavior. Cardholders are also not subjected to any trading fees that typically would accompany crypto purchases.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Prediction Markets:</w:t>
      </w:r>
      <w:r>
        <w:rPr>
          <w:color w:val="000000"/>
        </w:rPr>
        <w:t xml:space="preserve"> </w:t>
      </w:r>
      <w:r>
        <w:rPr>
          <w:rFonts w:ascii="Times New Roman;serif" w:hAnsi="Times New Roman;serif"/>
          <w:b w:val="false"/>
          <w:color w:val="000000"/>
          <w:sz w:val="20"/>
        </w:rPr>
        <w:t>We offer event-based derivatives that allow users to trade contracts linked to the outcomes of specified future events. Through Gemini Predictions, operated by our wholly-owned subsidiary Gemini Titan, eligible users can buy and sell binary “yes/no” event contracts that settle based on stipulated criteria defined in the applicable contract specifications. Gemini Titan is registered with the CFTC as a DCM and operates subject to the CEA (as defined below) and related CFTC regulations. Trading occurs through limit orders matched among market participants, and contracts settle following confirmation of the event outcome in accordance with applicable rules. Gemini Predictions became operational in December 2025 and are available only in jurisdictions and to users that meet applicable eligibility requirements.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6840"/>
                <wp:effectExtent l="0" t="0" r="0" b="0"/>
                <wp:wrapNone/>
                <wp:docPr id="24"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Spot Margin Trading: </w:t>
      </w:r>
      <w:r>
        <w:rPr>
          <w:rFonts w:ascii="Times New Roman;serif" w:hAnsi="Times New Roman;serif"/>
          <w:b w:val="false"/>
          <w:color w:val="000000"/>
          <w:sz w:val="20"/>
        </w:rPr>
        <w:t xml:space="preserve">We offer spot margin trading to eligible users, which allows customers to trade certain supported crypto assets using borrowed funds subject to predefined margin requirements. Spot margin trading enables users to increase their trading exposure by posting collateral and borrowing additional assets in accordance with Gemini’s margin methodologies, risk limits, and liquidation thresholds. Margin positions are continuously monitored, and we may require additional collateral or liquidate positions if margin requirements are not maintained. Spot margin trading is subject to eligibility requirements, jurisdictional restrictions, and asset-specific limitations. We apply interest charges and fees on borrowed amounts in accordance with applicable terms.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monetize our platform through diversified revenue streams: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Transaction Fees: </w:t>
      </w:r>
      <w:r>
        <w:rPr>
          <w:rFonts w:ascii="Times New Roman;serif" w:hAnsi="Times New Roman;serif"/>
          <w:b w:val="false"/>
          <w:color w:val="000000"/>
          <w:sz w:val="20"/>
        </w:rPr>
        <w:t xml:space="preserve">We earn fees on trading volume across our retail and institutional exchange and OTC platforms. Fee rates vary based on trade channel, user type, and volume.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Assets Under Custody Fees:</w:t>
      </w:r>
      <w:r>
        <w:rPr>
          <w:color w:val="000000"/>
        </w:rPr>
        <w:t xml:space="preserve"> </w:t>
      </w:r>
      <w:r>
        <w:rPr>
          <w:rFonts w:ascii="Times New Roman;serif" w:hAnsi="Times New Roman;serif"/>
          <w:b w:val="false"/>
          <w:color w:val="000000"/>
          <w:sz w:val="20"/>
        </w:rPr>
        <w:t>We earn fees on assets held in our Gemini Custody product, calculated as a percentage of assets under custody.</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Interest Income: </w:t>
      </w:r>
      <w:r>
        <w:rPr>
          <w:rFonts w:ascii="Times New Roman;serif" w:hAnsi="Times New Roman;serif"/>
          <w:b w:val="false"/>
          <w:color w:val="000000"/>
          <w:sz w:val="20"/>
        </w:rPr>
        <w:t xml:space="preserve">We earn interest revenue on user custodial USD balances and GUSD reserves backing our stablecoin.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Withdrawal Fees: </w:t>
      </w:r>
      <w:r>
        <w:rPr>
          <w:rFonts w:ascii="Times New Roman;serif" w:hAnsi="Times New Roman;serif"/>
          <w:b w:val="false"/>
          <w:color w:val="000000"/>
          <w:sz w:val="20"/>
        </w:rPr>
        <w:t>We earn withdrawal fees when users withdraw fiat via wire or crypto assets from the platform.</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Credit Card-Specific: </w:t>
      </w:r>
      <w:r>
        <w:rPr>
          <w:rFonts w:ascii="Times New Roman;serif" w:hAnsi="Times New Roman;serif"/>
          <w:b w:val="false"/>
          <w:color w:val="000000"/>
          <w:sz w:val="20"/>
        </w:rPr>
        <w:t>Our Credit Card product generates interchange revenue on transaction volume, as well as interest and fees.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Prediction Markets:</w:t>
      </w:r>
      <w:r>
        <w:rPr>
          <w:color w:val="000000"/>
        </w:rPr>
        <w:t xml:space="preserve"> </w:t>
      </w:r>
      <w:r>
        <w:rPr>
          <w:rFonts w:ascii="Times New Roman;serif" w:hAnsi="Times New Roman;serif"/>
          <w:b w:val="false"/>
          <w:color w:val="000000"/>
          <w:sz w:val="20"/>
        </w:rPr>
        <w:t>We generate revenue from our prediction markets platform primarily through transaction-based fees charged on executed event contracts. Fees are assessed based on customer trading activity and vary depending on contract type, trading volume, and market conditions. For the year ended December 31, 2025, prediction markets activity was limited due to the December launch of the product, and related revenue was not material. We expect prediction markets revenue to be driven by growth in customer participation and trading volumes over time.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Spot Margin Trading:</w:t>
      </w:r>
      <w:r>
        <w:rPr>
          <w:color w:val="000000"/>
        </w:rPr>
        <w:t xml:space="preserve"> </w:t>
      </w:r>
      <w:r>
        <w:rPr>
          <w:rFonts w:ascii="Times New Roman;serif" w:hAnsi="Times New Roman;serif"/>
          <w:b w:val="false"/>
          <w:color w:val="000000"/>
          <w:sz w:val="20"/>
        </w:rPr>
        <w:t>We earn revenue from spot margin trading primarily through interest income and fees on borrowed balances. Interest rates vary based on the asset borrowed, market conditions, and customer utilization levels. For the year ended December 31, 2025, spot margin trading activity was limited due to late-year launch of the product, and related revenue was not material.</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Technology and Data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Security is at the forefront of our operations. Our infrastructure features geographically distributed HSM supporting cold storage with advanced multi-signature technology, as well as MPC technology. We hold certifications including SOC 1 Type 2, SOC 2 Type 2, and ISO 27001, which reflect our adherence to rigorous security standards. Gemini is one of the world’s first crypto asset custodians and exchanges to have completed both SOC 1 Type 2 and SOC 2 Type 2 examinations.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Gemini, data is a core competency that drives decision-making and innovation across the organization. Our management and IT teams regularly utilize our enterprise analytics tool to extract valuable insights and optimize operations.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6840"/>
                <wp:effectExtent l="0" t="0" r="0" b="0"/>
                <wp:wrapNone/>
                <wp:docPr id="25"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marketing, a proprietary attribution model informs strategic decisions around promotional offers and media spend, ensuring efficient allocation of resources. Our product teams rely on onboarding analytics to refine product development and enhance the user experience, driving engagement and satisfaction.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user support, our chatbot, which is powered by advanced large language models and currently available to U.S. mobile app users, delivers immediate, effective assistance while significantly reducing the workload on human agents. Support tickets generated through these interactions are processed by an internal generative AI system, which produces daily and weekly summary reports. These reports provide actionable insights that guide product improvements and further optimize user interactions.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Gemini also prioritizes safeguarding financial transactions through sophisticated ACH fraud modeling. Our models address potential ACH returns such as R01 (insufficient funds) and R10 (unauthorized transactions or unknown originators). These models assess transaction risk in real time on our exchange platform, leveraging historical user data and third-party vendor data (e.g., Plaid) to identify patterns of fraudulent and benign transactions. We believe that this proactive approach has significantly helped mitigate losses associated with fraudulent ACH activity and enhanced platform security.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crypto industry is fragmented and evolving rapidly. We primarily compete with crypto-native platforms and fintech companies that offer comprehensive, diversified services including exchange, custody, staking, and other crypto-related products. Our primary competitors include Coinbase and Robinhood, among others.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face competition across individual product lines. In prediction markets, we compete with platforms such as Kalshi and Polymarket. In stablecoins, GUSD competes with USDC, USDT, and other dollar-backed stablecoins. In custody services, we compete with both crypto-native custodians and traditional financial institutions that are increasingly entering the digital asset space.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we compete with offshore and decentralized platforms that may operate with less regulatory oversight, enabling them to offer products, assets, or leverage that we cannot offer in regulated markets. As regulatory frameworks develop globally, we may face increased competition from both new entrants and traditional financial institutions expanding into crypto.</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the primary competitive factors in our industry include:</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Breadth of products and services that meet the needs of crypto users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Crypto-native, vertically-integrated technology platform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Secure custody solutions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Investment in regulatory compliance and operating licenses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Ease of use and accessibility of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Investment in innovation to drive new products and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Durability through market cycles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Deep crypto talent and expertise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cryptoeconomy continues to evolve and we expect to face competition from new entrants, including traditional financial institutions, as regulatory clarity increases.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6840"/>
                <wp:effectExtent l="0" t="0" r="0" b="0"/>
                <wp:wrapNone/>
                <wp:docPr id="26"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protection of our brands, technology and intellectual property is an important aspect of our business. We protect our intellectual property, including our brands, through a combination of trademarks, patents, copyrights, trade secrets, contractual provisions, confidentiality procedures and non-disclosure agreements.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we owned 73 issued utility patents and had 72 pending utility patent applications (69 filed utility patent applications and three to-be-filed patent applications), and owned one issued design patent and had two pending design patent applications in the United States. As of December 31, 2025, we owned 302 issued trademarks registrations and had 124 pending trademark applications across the United States and certain other jurisdictions. These registrations are effective for varying periods of time and may be renewed periodically provided that we comply with all applicable renewal requirements, including, where necessary, their continued use in the applicable jurisdictions. We continually review our development efforts to assess the existence and patentability of new intellectual property and, to the extent they would be beneficial to our business and cost-effective, we intend to continue to file additional patent applications with respect to our technology and trademark applications with respect to our brands.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above, we have registered several domain names, including www.gemini.com. We also enter into, and rely on, confidentiality and proprietary rights agreements with our employees, consultants, contractors and business partners to protect our trade secrets, proprietary technology and other confidential information. We further protect the use of our proprietary technology and intellectual property through provisions in both our user terms of use on our website and in our agreements with service providers.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Intellectual property laws, procedures, and restrictions provide only limited protection and any of our intellectual property rights may be challenged, invalidated, circumvented, infringed, or misappropriated. Further, the laws of certain countries do not protect proprietary rights to the same extent as the laws of the United States, and, therefore, in certain jurisdictions, we may be unable to protect our proprietary technology. For additional information regarding risks related to our intellectual property, see “</w:t>
      </w:r>
      <w:r>
        <w:rPr>
          <w:rFonts w:ascii="Times New Roman;serif" w:hAnsi="Times New Roman;serif"/>
          <w:b w:val="false"/>
          <w:i/>
          <w:color w:val="000000"/>
          <w:sz w:val="20"/>
        </w:rPr>
        <w:t>Risk Factors—Risks Related to Intellectual Property.</w:t>
      </w:r>
      <w:r>
        <w:rPr>
          <w:color w:val="000000"/>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seek to foster a high-performance culture based on merit. Gemini is a place where hard-working problem-solvers and creative builders thrive. Our core values emphasize long-term thinking, an ownership mentality, and working collaboratively with a security- and compliance-first mindset. We prioritize curiosity, continuous learning, and encouraging team members to push boundaries while maintaining our commitment to regulatory compliance and risk management. This approach is designed to foster a beginner’s mind and a shared, crypto-native vision for building the decentralized future. Our talent pool is comprised of professionals from leading technology and financial institutions, providing the comprehensive skill set needed to drive innovation in the cryptoeconomy. We believe our team’s track record of building scalable, distributed software systems, navigating complex regulatory environments, and delivering innovative products positions us strongly for continued growth.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committed to attracting and retaining top-tier talent by offering a competitive compensation and benefits package. This package is reviewed and updated twice per year to help ensure it remains aligned with market standards and our internal philosophy. Our compensation planning cycle coincides with our structured feedback cycle during which employees and managers engage in substantive performance conversations to facilitate targeted learning, continuous improvement, and career development. As part of our biannual compensation review program, pay equity analyses are also conducted to ensure equitable compensation practices across the organization.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a total global workforce of approximately 650 employees. In February 2026, we announced a reduction to our workforce of up to approximately 200 global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6840"/>
                <wp:effectExtent l="0" t="0" r="0" b="0"/>
                <wp:wrapNone/>
                <wp:docPr id="27"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operate in a complex and rapidly evolving regulatory environment and are subject to a wide range of laws and regulations enacted by U.S. federal, state, local, and foreign governments and regulatory authorities. Since our inception more than ten years ago, we have worked with regulatory stakeholders and lawmakers around the world to help shape thoughtful regulation that fosters both consumer protection and innovation. We have spent considerable time applying for and becoming licensed and regulated in the United States and various other jurisdictions across the world.</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Gemini’s platform operates principally in the United States. In the United States, Gemini's platform operates through Gemini Trust, LLC (“Gemini Trust”), which is primarily regulated by the NYDFS and Gemini Moonbase, LLC (“Gemini Moonbase”), which is regulated by various state regulators, including Florida’s Office of Financial Regulation. We hold MTLs or the statutory equivalent in all states that require such licenses so that our platform is able to operate in all 50 states, and both entities are also registered with FinCEN as money services businesses. In addition, Gemini Trust is chartered as a limited purpose trust company by NYDFS, which requires it to meet applicable capital requirements and comply with applicable New York banking law and NYDFS BitLicense regulations.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Internationally, we currently operate, and previously operated prior to our wind-down of operations in the United Kingdom, Europe, and Australia announced earlier this year, through various locally-established affiliates and subsidiaries, each subject to country-specific licensing, registration, and supervisory regimes administered by financial services and anti-money laundering and counter-terrorism regulators where we offer services. These regimes include, as applicable, virtual asset service provider, exchange regulation and payments and e-money frameworks. We continue to operate in Singapore through Gemini Digital Payments Pte. Ltd., which has obtained an in-principle approval for a Major Payments Institution license under the Singapore Payment Services Act 2019 from the Monetary Authority of Singapore for digital payment token and cross-border money transfer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While, in 2025, the Guiding and Establishing National Innovation for U.S. Stablecoins Act of 2025 (the “GENIUS Act”) was signed into law and the Digital Asset Market Clarity Act of 2025 (the “CLARITY Act”) was passed by the U.S. House of Representatives, the laws and regulations to which we are subject, including, but not limited to, those pertaining to digital assets, prediction markets, and credit cards, are rapidly evolving. Therefore, we monitor these areas closely and invest significant resources in our legal, compliance, product, and engineering teams to ensure our business practices evolve to help us comply with the current laws, regulations, and legal standards to which we are subject, as well as changes in interpretations thereof and additional laws, regulations, and legal standards that are introduced in the future. For additional information relating to regulation and regulatory actions, see “</w:t>
      </w:r>
      <w:r>
        <w:rPr>
          <w:rFonts w:ascii="Times New Roman;serif" w:hAnsi="Times New Roman;serif"/>
          <w:b w:val="false"/>
          <w:i/>
          <w:color w:val="000000"/>
          <w:sz w:val="20"/>
        </w:rPr>
        <w:t>Risk Factors—Risks Relating to Regulatory and Legal Matters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Item 3. Legal Proceedings.</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Anti-Money Laundering and Counter-Terrorist Financing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various AML and counter-terrorist financing laws, including the Bank Secrecy Act, as amended by the USA PATRIOT Act of 2001, and its implementing regulations (the “BSA”) in the United States, and similar laws and regulations abroad. In the United States, as a money services business registered with FinCEN, the BSA requires us to among other things, develop, implement, and maintain a risk-based AML program, provide an AML-related training program, report suspicious activities and transactions to FinCEN, comply with certain reporting and recordkeeping requirements, and collect and maintain information about our users. In addition, the BSA requires us to comply with certain customer due diligence requirements as part of our AML obligations, including developing risk-based policies, procedures, and internal controls reasonably designed to verify a customer’s identity. Many states and other countries impose similar and, in some cases, more stringent requirements related to AML and counter-terrorist financing. We have implemented a compliance program designed to prevent our platform from being used to facilitate money laundering, terrorist financing, and other illicit activity in countries, or with persons or entities, included on designated lists promulgated by OFAC and equivalent foreign authorities.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6840"/>
                <wp:effectExtent l="0" t="0" r="0" b="0"/>
                <wp:wrapNone/>
                <wp:docPr id="28"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compliance program includes policies, procedures, reporting protocols, and internal controls, and is designed to address legal and regulatory requirements as well as to assist us in managing risks associated with money laundering and terrorist financing. AML regulations are constantly evolving and vary from jurisdiction to jurisdiction. We continuously monitor our compliance with AML and counter-terrorist financing regulations and industry standards and implement policies, procedures, and controls in light of the most current legal requirements.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Money Transmission, Stored Value, and Virtual Currency Business Activity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Gemini’s exchange platform operates through Gemini Trust and Gemini Moonbase in the United States, each registered with FinCEN as money services businesses. Gemini Trust and Gemini Moonbase are each subject to, among other things, affiliate transaction limitations, notice and reporting requirements, restrictions and requirements with respect to the investment of user funds and use and safeguarding of user funds and digital assets, user notice and disclosure requirements, and applicable reporting and recordkeeping requirements. State licensing laws also cover matters such as regulatory approval of controlling stockholders, directors, and senior management of the licensed entity. We hold MTLs or the statutory equivalent in all states that require such licenses so that our platform is able to operate in all 50 states.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Economic and Trade Sanctions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required to comply with economic and trade sanctions administered by the United States, the E.U., relevant E.U. member states, and other jurisdictions in which we operate. Economic and trade sanctions programs administered by OFAC and by certain foreign jurisdictions prohibit or restrict transactions to or from (or dealings with or involving) certain countries, regions, governments, and in certain circumstances, specified individuals and entities such as narcotics traffickers, terrorists, and terrorist organizations, as well as certain digital currency addresses. See “</w:t>
      </w:r>
      <w:r>
        <w:rPr>
          <w:rFonts w:ascii="Times New Roman;serif" w:hAnsi="Times New Roman;serif"/>
          <w:b w:val="false"/>
          <w:i/>
          <w:color w:val="000000"/>
          <w:sz w:val="20"/>
        </w:rPr>
        <w:t>Risk Factors—Risks Relating to Regulatory and Legal Matters—If we expand our international activities, our obligations to comply with the laws, rules, regulations, and policies of a variety of jurisdictions will increase and we may be subject to inquiries, investigations, and enforcement actions by U.S. and non-U.S. regulators and governmental authorities, including those related to sanctions, export control, and AML.</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Determining whether a specific digital asset is a security or offered and sold in a securities transaction under U.S. law has been historically complex and continues to remain subject to considerable uncertainty. For example, the SEC and its staff have previously taken the position that transactions involving many digital assets fall within the definition of a security under the U.S. federal securities laws. However, SEC officials have also indicated or implied through various mediums that it does not consider transactions in bitcoin or ether to be offered and sold in securities transactions. More recently, the SEC’s Division of Corporation Finance has published statements that it does not consider, under certain circumstances, “meme coins” or some stablecoins to be securities. However, such statements may be withdrawn at any time without notice and comment by the Division of Corporation Finance at the SEC or the SEC itself. In addition, the current Chairman of the SEC has stated he believes most digital assets are not securities; however, this is not an official statement by the SEC, may not represent the agency’s views, and does not bind it. As a result, there is little certainty under applicable legal tests whether certain digital assets are or are not offered and sold in securities transactions, and any such determination has wide-ranging implications for the regulatory obligations that flow from the offer, sale, trading, and clearing of such assets, including licensing, registration, and qualification requirements. On March 17, 2026, the SEC issued an interpretation of the definition of “security” as applied to certain types of crypto assets and transactions involving crypto assets, and addressed how a “non-security crypto asset” may become subject to, and cease to be subject to, an investment contract.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policies and procedures to analyze whether transactions in digital assets on our platform, as well as our products and services, could be deemed to be offered and sold in a securities transactions subject to state or federal securities laws. We perform ongoing monitoring of digital assets supported on our platform and we maintain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6840"/>
                <wp:effectExtent l="0" t="0" r="0" b="0"/>
                <wp:wrapNone/>
                <wp:docPr id="29"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a rigorous listing and delisting policy. Given the lack of clear guidance, a standard, or policy on digital assets and securities transactions, our policies and procedures represent our company-developed risk-based assessment, including with respect to the likelihood that a particular digital asset, product, or service could be deemed a security or securities transaction under applicable laws. In the event that we determine that a supported digital asset has been ultimately determined to be offered and sold as a security, or that the continued offering or sale of a digital asset presents risk to us or our users, we endeavor to take prompt action, which can include discontinuing the trading of the digital asset. For additional information regarding risks related to digital assets and digital asset transactions being classified as securities or securities transactions, see “</w:t>
      </w:r>
      <w:r>
        <w:rPr>
          <w:rFonts w:ascii="Times New Roman;serif" w:hAnsi="Times New Roman;serif"/>
          <w:b w:val="false"/>
          <w:i/>
          <w:color w:val="000000"/>
          <w:sz w:val="20"/>
        </w:rPr>
        <w:t>Risk Factors—Risks Relating to Regulatory and Legal Matters—A particular digital asset, digital asset transaction, or product or service offering’s status as a security or sold as part of a securities transaction in any relevant jurisdiction is subject to a high degree of uncertainty. If we incorrectly conclude that a digital asset, digital asset transaction, or product or service offering is not offered and sold as a security or securities transaction, we may be subject to regulatory scrutiny, inquiries, investigations, fines, and other penalties, which may adversely affect our business, operating results, and financial condition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Broker-Dealer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Gemini Galactic, LLC (“Gemini Galactic”) is our broker-dealer registered with the SEC and is a member of FINRA. Gemini Galactic may operate an ATS that can offer its subscribers the ability to trade “virtual” or “tokenized” digital asset securities. While Gemini Galactic is not yet operational, broker-dealer and alternative trading system activities are subject to regulation, examination, investigation, and disciplinary action by the SEC, FINRA, and state securities regulators, as well as other governmental authorities and self-regulatory organizations with which they are registered or licensed or of which they are a member.</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Commodities and Derivatives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CFTC has stated and CFTC enforcement actions have confirmed that at least some digital assets, including bitcoin, fall within the definition of a “commodity” under the U.S. Commodity Exchange Act of 1936 (the “CEA”). In March 2026, the CFTC joined an interpretation issued by the SEC to provide guidance that the CFTC and its staff would administer the CEA consistent with the SEC's interpretation, and that certain “non-security crypto assets” could meet the definition of “commodity” under the CEA. Under the CEA, the CFTC has broad enforcement authority to police market manipulation and fraud in spot digital assets markets in which we may transact. Beyond instances of fraud or manipulation, the CFTC generally does not oversee cash or spot market exchanges or transactions involving digital assets that do not utilize margin, leverage, or financing. The National Futures Association (the “NFA”) is the self-regulatory agency for the U.S. futures industry, and as such has jurisdiction over bitcoin futures contracts and certain other digital assets derivatives. However, the NFA does not have regulatory oversight authority for the cash or spot market for digital assets trading or transactions. In addition, CFTC regulations and CFTC oversight and enforcement authority apply with respect to futures, swaps, other derivative products, and certain leveraged commodity transactions involving digital assets, including the markets on which these products trade.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Prohibitions on Bribery and Anti-Corruption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regulations imposed by the Foreign Corrupt Practices Act in the United States and similar laws in other countries, which generally prohibit companies and those acting on their behalf from making improper payments to foreign government officials for the purpose of obtaining or retaining business. Some of these laws also prohibit improper payments between private entities and persons.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Privacy and Protection of User Data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a number of laws, rules, directives, and regulations relating to the collection, use, retention, security, transfer and other processing of personal data about our users and employees in the countries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6840"/>
                <wp:effectExtent l="0" t="0" r="0" b="0"/>
                <wp:wrapNone/>
                <wp:docPr id="30"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where we operate. Our business relies on the processing of personal data in many jurisdictions and the movement of data across national borders. As a result, much of the personal data that we process, which may include certain financial information associated with individuals, is regulated by multiple privacy and data protection laws and, in some cases, the privacy and data protection laws of multiple jurisdictions. In many cases, these laws apply not only to third-party transactions, but also to transfers of information between or among us, our subsidiaries, and other parties with which we have commercial relationships. See “</w:t>
      </w:r>
      <w:r>
        <w:rPr>
          <w:rFonts w:ascii="Times New Roman;serif" w:hAnsi="Times New Roman;serif"/>
          <w:b w:val="false"/>
          <w:i/>
          <w:color w:val="000000"/>
          <w:sz w:val="20"/>
        </w:rPr>
        <w:t>Risk Factors—Risks Relating to Legal and Regulatory Matters—We obtain and process a large amount of personal data, including sensitive data. Any real or perceived improper use of, disclosure of, or access to such data could harm our reputation, as well as have an adverse effect on our business.</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Consumer Protection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FTC, the CFPB, and other U.S. federal, state, and local and foreign regulatory agencies regulate financial products, including money transfer services related to remittance or peer-to-peer transfers. These agencies, as well as certain other governmental bodies, in particular state attorneys general, have broad consumer protection mandates and discretion in enforcing consumer protection laws, including matters related to unfair or deceptive, and, in the case of the CFPB, abusive acts or practices, or UDAAPs, and they promulgate, interpret, and enforce rules and regulations that affect our business. For example, all persons offering or providing financial services or products to consumers in the United States, directly or indirectly, can be subject to enforcement actions related to the prohibition of UDAAPs. The CFPB can enforce subpoenas and civil investigative demands, conduct hearings and adjudication proceedings, commence a civil action, grant relief (e.g., limit activities or functions; rescission of contracts), and refer matters for criminal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Credit and Debit Card State and Federal Laws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credit card operations are subject to numerous federal and state laws that impose disclosure and other requirements upon the origination, servicing and enforcement of credit accounts and limitations on the maximum amount of finance charges that may be charged by a credit provider such as the CARD Act and the Dodd-Frank Wall Street Reform and Consumer Protection Act (the “Dodd-Frank Act”). The CARD Act includes rules and restrictions on credit card pricing, finance charges and fees, user billing practices and payment application. The Dodd-Frank Act was enacted in 2010 and increased the regulatory requirements affecting providers of consumer credit. The Dodd-Frank Act granted each of the CFPB and the Financial Stability Oversight Council authority to determine whether any non-bank financial company, such as us, should be supervised by the CFPB or Board of Governors of the Federal Reserve System, respectively. Any new rules or regulations implemented by the CFPB or the Financial Stability Oversight Council or in connection with the Dodd-Frank Act that are applicable to us, or any changes that are adverse to us resulting from litigation brought by third parties challenging such rules and regulations, could increase our cost of doing business or limit permissible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CFP    B has proposed and issued rules that impact, have previously impacted, or could impact in the future the industry and our credit card operations. For example, the CFPB’s Credit Card Penalty Fees Rule, issued on March 5, 2024, would lower the regulatory safe harbor for certain credit card late fees under the CARD Act from $30 ($41 for subsequent violations) to $8. The Credit Card Penalty Fees Rule was challenged in court, and in April 2025, the CFPB agreed to a judgment vacating that rule. Further, on January 13, 2025, the CFPB issued a proposed rule that would prohibit certain contract terms in agreements for consumer financial products or services, including credit cards. The proposed rule would prohibit any “term or condition that expressly reserves the covered person’s right to unilaterally change, modify, revise, or add a material term of a contract for a consumer financial product or service.” In May 2025, the CFPB withdrew this proposed rule. In addition, the Dodd-Frank Act directed the Federal Reserve to regulate debit interchange transaction fees that a card issuer or payment network receives or charges for an electronic debit transaction. Pursuant to the Dodd-Frank Act, debit interchange transaction fees must be “reasonable and proportional” to the cost incurred by the card issuer in authorizing, clearing, and settling the transaction. On November 14, 2023, the Federal Reserve issued a notice of proposed rulemaking, pursuant to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6840"/>
                <wp:effectExtent l="0" t="0" r="0" b="0"/>
                <wp:wrapNone/>
                <wp:docPr id="31"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Federal Reserve proposed to update certain interchange rates for card issuers operating in the U.S. with assets of $10 billion or more. Further, members of Congress have periodically introduced legislation to reduce credit card interchange fees, such as The Credit Card Competition Act. There could be similar legislation implemented at the state level, such as the Illinois Interchange Fee Prohibition Act. If any such legislation is passed, our business, operating results, or financial condition may be adversely affected. We anticipate more legislation, regulations, and interpretations of existing rules, and, depending on the nature and extent of these new laws, regulations, and interpretations, we may be required to make changes to our practices and systems, including with respect to our credit card program. See “</w:t>
      </w:r>
      <w:r>
        <w:rPr>
          <w:rFonts w:ascii="Times New Roman;serif" w:hAnsi="Times New Roman;serif"/>
          <w:b w:val="false"/>
          <w:i/>
          <w:color w:val="000000"/>
          <w:sz w:val="20"/>
        </w:rPr>
        <w:t>Risk Factors—Risks Relating to Regulatory and Legal Matters—The Gemini Credit Card is subject to various laws, regulations, and industry standards, all of which are subject to change and some of which are subject to uncertain interpretation.</w:t>
      </w:r>
      <w:r>
        <w:rPr>
          <w:color w:val="000000"/>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Prediction Markets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we launched Gemini Predictions, a regulated prediction markets platform operated by our DCM affiliate and wholly-owned subsidiary, Gemini Titan. As a DCM, Gemini Titan is subject to ongoing CFTC oversight and must comply with applicable CEA requirements and CFTC regulations, including requirements relating to market rules, surveillance, and other compliance obligations. The CFTC has previously taken steps that may impact the types of event contracts that can be offered by CFTC-regulated entities and could set forth additional regulations around how such products are designed and offered. Recently, the CFTC indicated that it may pursue additional rulemaking and other regulatory actions relating to these products, which may bring additional clarity to prediction markets platforms such as ours.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Additionally, state regulators may seek to regulate prediction market products notwithstanding federal oversight. For example, in December 2025, the Connecticut Department of Consumer Protection issued cease-and-desist orders to multiple platforms, directing them to stop making available “sports event contracts” and other alleged unlicensed online gambling to Connecticut residents. Similarly in March 2026, Arizona brought criminal charges against Kalshi alleging that it was operating an illegal gambling business in violation of Arizona law by offering certain event contracts to Arizona residents and Nevada won a temporary restraining order to prevent Kalshi from offering certain event-based contracts in Nevada. A fragmented, state-by-state regulatory approach could require us to implement differing controls or potentially restrict availability in certain jurisdictions. As the prediction market industry is relatively nascent, it is difficult to predict how the legal and regulatory framework around prediction markets will develop and how such developments will impact our business and Gemini Predictions. See "</w:t>
      </w:r>
      <w:r>
        <w:rPr>
          <w:rFonts w:ascii="Times New Roman;serif" w:hAnsi="Times New Roman;serif"/>
          <w:b w:val="false"/>
          <w:i/>
          <w:color w:val="000000"/>
          <w:sz w:val="20"/>
        </w:rPr>
        <w:t>Risk Factors—Risks Relating to Regulatory and Legal Matters—The applicability of certain preexisting laws and regulations to our prediction markets business is uncertain and Gemini Predictions could become subject to, or the target of, a regulatory or enforcement action."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Corporate Information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Gemini Space Station, Inc. was incorporated in the State of Nevada on February 4, 2025. Pursuant to an internal reorganization completed in 2025 in connection with our initial public offering (“IPO”), Gemini Space Station, Inc. is a holding company, and its principal asset is a controlling equity interest in Gemini Space Station, LLC (“GSS LLC”). Gemini Space Station, Inc. is the sole managing member of GSS LLC and controls all of the businesses and affairs of GSS LLC, as well as its direct and indirect subsidiaries.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Available Information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file electronically with the SEC our Annual Report on Form 10-K, Quarterly Reports on Form 10-Q, Current Reports on Form 8-K, and amendments to reports filed or furnished pursuant to Section 13(a) or 15(d) of the Exchange Act. The SEC maintains a website at www.sec.gov that contains reports, proxy and information statements and other information that we file with the SEC electronically. We will make available on our website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6840"/>
                <wp:effectExtent l="0" t="0" r="0" b="0"/>
                <wp:wrapNone/>
                <wp:docPr id="32"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www.gemini.com, free of charge, copies of these reports and other information as soon as reasonably practicable after we electronically file such material with, or furnish it to, the SEC.</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our Investor Relations website (investor.gemini.com), our blog (www.gemini.com/blog), press releases, public conference calls and webcasts, and our official social media channels, including our X account (@Gemini) and LinkedIn page, as means of disclosing material non-public information and for complying with our disclosure obligations under Regulation FD. Information disclosed through these channels may be deemed to be material information. Accordingly, we encourage investors, the media, and others to monitor these channels for information about 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contents of the websites and social media channels referenced above are not intended to be incorporated by reference into this Annual Report on Form 10-K or any other report or document we file with the SEC, and any references to such websites or channels are intended to be inactive textual references only.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An investment in our Class A common stock involves a high degree of risk. You should consider carefully the following risks, together with the financial and other information contained in this Annual Report on Form 10-K, before you decide to purchase our Class A common stock. If any of the following risks or uncertainties actually occurs, our business, operating results, and financial condition could be materially and adversely affected. In that case, the market price of our Class A common stock could decline and you may lose all or a part of your investment. The risks discussed below are not exhaustive; additional risks or uncertainties not currently known to us, or that we currently deem immaterial, may also have a material adverse effect on our business, operating results, and financial condition. We cannot assure you that any of the events discussed below will not occur.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and uncertainties, including those risks discussed at length below. These risks include, among others, the following:</w:t>
      </w:r>
    </w:p>
    <w:p>
      <w:pPr>
        <w:pStyle w:val="TextBody"/>
        <w:bidi w:val="0"/>
        <w:spacing w:before="0" w:after="0"/>
        <w:jc w:val="both"/>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slowing or stopping of the development or acceptance of blockchain networks and blockchain-based assets could have a material adverse effect on the successful development and adoption of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future development and growth of the digital asset industry is subject to a variety of factors that are difficult to predict and evaluate.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operating results have and will significantly fluctuate, due to inherent volatility associated with the digital asset industry including, but not limited to, the price of digital assets, regulatory scrutiny of certain digital assets or related products or services, or changes in applicable laws. Our total revenue is substantially dependent on the volume of digital asset transactions conducted on our platform, which is in turn significantly affected by the prices of digital assets. If such prices or volumes decline, our business, operating results, and financial condition would be adversely affected and the price of our Class A common stock could decline.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net revenue is concentrated in a limited number of areas. For our digital asset exchanges, meaningful concentration of our revenue is from transactions in bitcoin, ether and solana. If revenue from these areas declines and is not replaced by new trading in other digital assets or demand for other products and services, our business, operating results, and financial condition could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failure to safeguard and manage our and our users’ fiat currencies and digital assets could adversely impact our business, operating results, and financial condition.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significant disruption in our products and services, in our information technology systems, or in any of the blockchain networks we support, could result in a loss of users or funds and adversely impact our brand and reputation and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6840"/>
                <wp:effectExtent l="0" t="0" r="0" b="0"/>
                <wp:wrapNone/>
                <wp:docPr id="33"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operate in a highly competitive industry and we compete against unregulated or less regulated companies. We also face competition from DEXs and DAOs, which may be able to innovate faster and offer products and services that we do not offer. We also compete against companies with greater financial and other resources. Our business, operating results, and financial condition may be adversely affected if we are unable to respond to competition effectively.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cannot keep pace with rapid industry changes to provide new and innovative products and services, the use of our products and services, and consequently our net revenue, could decline, which could adversely impact our business, operating results, and financial condition.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particular digital asset, digital asset transaction, or product or service offering’s status as a security or sold as part of a securities transaction in any relevant jurisdiction is subject to a high degree of uncertainty. If we incorrectly conclude that a digital asset, digital asset transaction, or product or service offering is not offered or sold as a security or securities transaction, we may be subject to regulatory scrutiny, inquiries, investigations, fines, and other penalties, which may adversely affect our business, operating results, and financial condition.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are subject to an extensive, highly-evolving, and uncertain regulatory landscape and any adverse changes to, or our failure to comply with, any laws and regulations could adversely affect our brand, reputation, business, operating results, and financial condition.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There can be no assurance that Gemini Predictions will gain sufficient user adoption or market share, and there is no guarantee that it will generate meaningful revenue for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are, and may continue to be, subject to material litigation, including individual and class action lawsuits, as well as investigations and enforcement actions by regulators and governmental authorities. These matters are often expensive and time consuming, and, if resolved adversely, could harm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Our Business and Industry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slowing or stopping of the development or acceptance of blockchain networks and blockchain-based assets could have a material adverse effect on the successful development and adoption of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depends on the continued growth, development, and acceptance of blockchain networks, digital assets, and related technologies, which are subject to a high degree of uncertainty. Key factors influencing the further development of blockchain networks and digital assets include the global adoption of digital assets and blockchain technology; regulatory and quasi-government restrictions on access to and operation of blockchain networks; and the maintenance of open source protocols that support blockchain networks. Additional factors, such as shifts in consumer demographics and public preferences, the availability of alternative transaction methods, the potentially speculative nature of digital assets, and economic conditions domestically and globally, also contribute to this uncertainty. If blockchain adoption, acceptance, or functionality slows, halts, or changes in a way that diminishes our ability to grow our exchange and custody businesses, our financial condition and growth prospects could be materially and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future development and growth of the digital asset industry is subject to a variety of factors that are difficult to predict and evaluate.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market for digital assets declines or does not grow as we expect in terms of value, volume, or demand, our business, operating results, and financial condition could be materially adversely affected. Further, the future growth and development of the digital asset ecosystem is uncertain. Blockchain technology, digital assets, smart contracts, dApps, and DeFi are components of a new and evolving paradigm that is subject to a variety of factors that are difficult to evaluate, including: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6840"/>
                <wp:effectExtent l="0" t="0" r="0" b="0"/>
                <wp:wrapNone/>
                <wp:docPr id="34"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extreme price volatility or “black swan” events (i.e., highly improbable, unexpected occurrences with significant consequences that are extremely difficult to predict beforehand) with respect to different digital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many blockchain networks have limited operating histories and are still in the process of development, which will affect the design, supply, issuance, functionality, and governance of their respective digital assets and underlying blockchain networks. Any of these factors could adversely affect their respective digital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many blockchain networks are in the process of implementing software upgrades and other changes to their protocols, which could introduce bugs, security risks, and adversely affect the associated digital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technical issues, such as bugs or vulnerabilities in protocols, have led to disabled functionalities, exposure of personal information, and theft of users’ assets. These issues often require resolution by global miner, user, and developer communities, and their recurrence could undermine trust in digital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with respect to hardware used in connection with wallets and blockchain networks generally, there are risks related to technological obsolescence, the vulnerability of the global supply chain and difficulty in obtaining new hardware;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several large networks, including Bitcoin, Ethereum, and Solana, are developing new features to address fundamental speed, scalability, and energy usage issues. If these issues are not successfully addressed or are unable to achieve widespread adoption, they could adversely affect the underlying digital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many digital assets and their underlying blockchain networks have identified security issues, bugs, and software errors, some of which have been exploited by malicious actors. There are also inherent security weaknesses in some digital assets, e.g., when creators of certain blockchain networks use procedures which could allow hackers to counterfeit tokens. Any weaknesses identified with a digital asset could adversely affect its price, security, liquidity, and adoption. If a malicious actor or botnet (a volunteer or hacked collection of computers controlled by networked software coordinating the actions of these computers) obtains a majority of the compute or staking power on a blockchain network, the actor or botnet might be able to manipulate transactions, which could cause significant financial losses to holders, damage the network’s reputation and security, and adversely affect its value;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development of new technologies for mining, such as improved application-specific integrated circuits, and changes in industry patterns such as the consolidation of mining power in a small number of large mining farms, could reduce the security of blockchain networks, lead to increased liquid supply of digital assets, and reduce a digital asset’s price and attractiveness;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rewards and transaction fees for miners or validators on any particular blockchain network are not sufficiently high to attract and retain miners or validators, a digital asset’s network’s security and speed may be adversely affected, increasing the likelihood of a malicious attack;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many digital assets have concentrated ownership or an admin key, allowing a small group of holders to have significant unilateral control and influence over key decisions related to their blockchain networks or protocols, such as governance decisions and protocol changes, as well as the market price of such digital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governance of many decentralized blockchain networks and protocols is by voluntary consensus and open competition, and many developers are not directly compensated for their contributions. As a result, there may be a lack of consensus or clarity on the governance of any particular blockchain network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6840"/>
                <wp:effectExtent l="0" t="0" r="0" b="0"/>
                <wp:wrapNone/>
                <wp:docPr id="35"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protocol, a lack of incentives for developers to maintain or develop the network or protocol, and other unforeseen issues, any of which could result in unexpected or undesirable errors, bugs, or changes, or stymie such network or protocol’s utility and ability to respond to challenges and grow;</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many blockchain networks and protocols are in the early stages of developing partnerships and collaborations, any one or more of which may not succeed and adversely affect the usability and adoption of their respective digital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digital assets have only recently become selectively accepted as a means of payment by retail and commercial outlets and use of digital assets by consumers to pay such retail and commercial outlets remains limited. Banks and other established financial institutions may refuse to (i) process funds for digital asset transactions; (ii) process wire transfers to or from digital asset exchanges, digital asset-related companies, and service providers; or (iii) maintain accounts for persons or entities transacting in crypto assets. As a result, the prices of various digital assets are largely determined by speculators, miners and validators, thus contributing to price volatility which makes retailers less likely to accept digital assets as a form of payment in the future;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banks may not provide or may cut off banking services to businesses that provide digital asset-related services or that accept digital assets as payment, which could harm our banking infrastructure, limit us from operating in certain jurisdictions or limit product or service offerings, dampen liquidity in the market, and damage public perception of digital assets generally or any one digital asset in particular (such as bitcoin) and their or our utility as a payment system. These actions could decrease the price of crypto assets generally or individually;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there is a lack of liquid markets in certain digital assets, and these markets are subject to possible manipulation;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certain digital assets have concentrated ownerships, and large sales or distributions by holders of such digital assets, or “whales,” could have an adverse effect on the market price of such digital assets;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characteristics of digital assets have been, and may in the future continue to be, exploited to facilitate illegal activity such as fraud, money laundering, tax evasion, and ransomware scams.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Acceptance and/or widespread use of digital assets is uncertain and the prices of digital assets can be extremely volatile. For example, since 2023, the trading price of bitcoin has fluctuated from a low of approximately $16,000 to highs above $120,000. Our revenue is substantially dependent on the prices of digital assets and volume of digital asset transactions conducted on our platform. If such price or volume declines, this would materially adversely affect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operating results have and will significantly fluctuate, due to inherent volatility associated with the digital asset industry including, but not limited to, the price of digital assets, regulatory scrutiny of certain digital assets or related products and services, or changes in applicable laws.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operating results are dependent on digital assets and the broader digital asset industry. Due to the highly volatile nature of the digital asset industry and the prices of digital assets, which have experienced and continue to experience significant volatility, our operating results have, and will continue to, fluctuate significantly from quarter to quarter in accordance with market sentiments and movements in the broader digital asset industry. Our operating results will continue to fluctuate significantly as a result of a variety of factors, many of which are unpredictable and in certain instances are outside of our control, including: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6840"/>
                <wp:effectExtent l="0" t="0" r="0" b="0"/>
                <wp:wrapNone/>
                <wp:docPr id="36"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dependence on offerings that are, in turn, dependent on digital asset trading activity, including trading volume and the prevailing trading prices for digital assets, whose trading prices and volume can be highly volatile;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attract, maintain, and grow our user base and engage our users;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legislative or regulatory environment, or actions by U.S. or foreign governments or regulators, including fines, orders, or consent decrees;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regulatory changes or scrutiny that impact our ability to offer certain products or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increased regulatory certainty, which could lead to greater competition from traditional financial services firms and other competitors with broader access to financial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continue to diversify and grow our revenue;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pricing for or temporary suspensions of our products and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investments we make in the development of products and services, as well as international expansion, and sales and marketing;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adding digital assets to, or removing them from, our platform;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establish and maintain partnerships, collaborations, joint ventures, or strategic alliances with third parties;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market conditions of, and overall sentiment towards, the digital asset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macroeconomic conditions, including interest rates, inflation, and instability in the global banking system;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legal proceedings or regulatory enforcement actions, judgments, settlements, or other legal proceeding and enforcement-related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development and introduction of existing and new products and services by us or our competitors or the emergence of new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control costs, including operating expenses incurred to grow and expand our operations and remain competitive;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system failure, outages, or interruptions, including with respect to our digital asset platform and third-party digital asset networks, which have occurred in the past and will likely occur in the future;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lack of control over decentralized or third-party blockchains and networks that may experience downtime, cyberattacks, critical failures, errors, bugs, corrupted files, data losses, or other similar software failures, outages, breaches, and losses;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breaches of security or privacy;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real or perceived improper or unauthorized use of, disclosure of, or access to confidential, proprietary, personal, or sensitive data;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6840"/>
                <wp:effectExtent l="0" t="0" r="0" b="0"/>
                <wp:wrapNone/>
                <wp:docPr id="37"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attract and retain talent.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these factors, it is difficult for us to forecast growth trends accurately and our business and future prospects are difficult to evaluate. In view of the rapidly evolving nature of our business and the digital asset industry, period-to-period comparisons of our operating results may not be meaningful, and you should not rely upon them as an indication of future performance. Quarterly and annual expenses reflected in our financial statements may vary significantly from historical or projected rates and our operating results in one or more future quarters may fall below the expectations of securities analysts and investors. As a result, the trading price of our Class A common stock may be volatile.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total revenue is substantially dependent on the volume of digital asset transactions conducted on our platform, which is in turn significantly affected by the prices of digital assets. If such prices or volumes decline, our business, operating results, and financial condition would be adversely affected and the price of our Class A common stock could decline.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generate a large portion of our total revenue from transaction fees on our platform in connection with the purchase, sale, and trading of digital assets by our users. The transaction price, represented by the trading fee, varies depending on the value of the transaction and/or the user’s transaction volume processed over the previous thirty-day period. Instant orders also incur a convenience fee that is typically calculated at a rate around 100 basis points above the market price. Declines in the volume of digital asset transactions, the price of digital assets, or market liquidity for digital assets generally may result in lower total revenue to 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price of digital assets and associated demand for buying, selling, and trading digital assets have historically been subject to significant volatility. For instance, in 2017, the value of certain digital assets, including bitcoin, experienced steep increases in value, and our user base expanded worldwide. Value increases of certain digital assets, including bitcoin, from 2016 to 2017, and then again in 2021, were followed by a steep decline in 2018 and again in 2022, which adversely affected our net revenue and operating results. While the value of digital assets, including bitcoin, increased significantly in 2024 and 2025, they have decreased in value in early 2026 and if the value of digital assets and transaction volume continue to decline, our ability to generate revenue may suffer and user demand for our products and services may decline. These factors could adversely affect our business, operating results, and financial condition and cause the price of our Class A common stock to decline. The price and trading volume of any digital asset is subject to significant uncertainty and volatility, depending on a number of factors,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market conditions of, and overall sentiment towards, digital assets and the digital asset industry, including, but not limited to, as a result of actions taken by or developments of other participants in the digital asset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liquidity, market-making volume, and trading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trading activities on other digital asset platforms worldwide, including platforms that may be impacted by manipulative trading activity;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investment and trading activities of highly active consumer and institutional users, speculators, miners, validators, and investors;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speed and rate at which digital assets are able to gain adoption as a medium of exchange, utility, store of value, consumptive asset, security instrument, or other financial assets worldwide, if at all;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or inability of the digital asset industry to develop and commercialize profitable near-term use cases for digital assets and blockchain technology generally;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6840"/>
                <wp:effectExtent l="0" t="0" r="0" b="0"/>
                <wp:wrapNone/>
                <wp:docPr id="38"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decreased user and investor confidence in digital assets and crypto platforms;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negative publicity and events relating to the digital asset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unpredictable social media coverage or “trending” of digital assets, or other rumors and market speculation regarding digital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functionality and utility of digital assets and their associated ecosystems and networks, including digital assets designed for use in various applications;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consumer preferences and perceived value of digital assets and digital asset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increased competition from other payment services or other digital assets that exhibit better speed, security, scalability, or other characteristics;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legal proceedings or regulatory enforcement actions, judgments, or settlements impacting digital asset industry participants;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regulatory or legislative changes, including a change in sentiment towards, and scrutiny and updates affecting the digital asset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characterization of digital assets under the laws of various jurisdictions around the world, some of which could require technical modifications to our platform that would be difficult and time consuming to complete;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adoption of unfavorable taxation policies on digital asset investments by governmental entities;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maintenance, troubleshooting, and development of blockchain networks and associated digital assets, including by miners, validators, and developers worldwide;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for blockchain networks to attract and retain miners or validators to secure and confirm transactions accurately and efficiently;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legal and regulatory changes affecting the operations of miners and validators of blockchain networks, including limitations and prohibitions on mining activities, or new legislative or regulatory requirements as a result of growing environmental concerns around the use of energy in Bitcoin and other proof-of-work mining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ongoing technological viability and security of digital assets and their associated smart contracts, applications, and networks, including vulnerabilities against hacks and scalability;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fees and speed associated with processing digital asset transactions, including on the underlying blockchain networks and on digital asset platforms;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financial strength of market participants;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and cost of funding and capital;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liquidity and credit risk of other digital asset platforms;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6840"/>
                <wp:effectExtent l="0" t="0" r="0" b="0"/>
                <wp:wrapNone/>
                <wp:docPr id="39"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interruptions or temporary suspensions or other compulsory restrictions in products or services from or failures of major digital asset platforms;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of an active derivatives market for various digital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of banking and payment services to support digital asset-related projects;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instability in the global banking system;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level of interest rates and inflation;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monetary policies of governments, trade restrictions, and fiat currency devaluations;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national and international economic and political conditions.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is no assurance that any supported digital asset will maintain its value or that there will be meaningful levels of trading activities. In the event that the price of digital assets or the demand for trading digital assets declines, our business, operating results, and financial condition would be adversely affected and the price of our Class A common stock could decline.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net revenue is concentrated in a limited number of areas. For our digital asset exchanges, a meaningful concentration of our revenue is from transactions in bitcoin, ether and solana. If revenue from these areas declines and is not replaced by new trading in other digital assets or demand for other products and services, our business, operating results, and financial condition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net revenue is concentrated in a limited number of areas, such as transactions in bitcoin, ether, and solana. During 2022 and 2023, the value of bitcoin, ether, solana, and other digital assets declined steeply. While the value of many digital assets recovered and reached record highs in 2024 and 2025, the prices of digital assets have generally decreased in early 2026 and, if the value of these digital assets continues to decrease, or does not increase again in the future, our business and operating results could be adversely affected. As such, in addition to the factors impacting the broader digital asset industry described in this section, our revenue may be adversely affected if the markets for bitcoin, ether, and solana deteriorate or if their prices decline, including because of the following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reduction in mining rewards of Bitcoin, including block reward halving events, which are events that occur after a specific period of time and reduces the block reward earned by miners;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public sentiment related to the actual or perceived environmental impact of blockchain technology and related activities, including environmental concerns raised by private individuals and governmental actors related to the energy resources consumed in the Bitcoin mining process;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migration of Ethereum to a proof-of-stake consensus mechanism;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disruptions, hacks, splits in the underlying networks also known as forks, attacks by malicious actors who control a significant portion of the networks’ hash rate through double spend or 51% attacks, and similar incidents affecting the Bitcoin, Ethereum, or Solana blockchain networks;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hard forks resulting in the creation of and divergence into multiple separate networks, such as Bitcoin Cash and Ethereum Classic;</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informal governance led by Bitcoin, Ethereum, and Solana’s core developers that leads to revisions to the underlying source code or inactions that prevent network scaling, and which evolves over time largely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40"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self-determined participation, which may result in new changes or updates that affect their speed, security, usability, or value;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for Bitcoin, Ethereum, and Solana’s blockchain networks to resolve significant scaling challenges and increase the volume and speed of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transaction congestion and fees associated with processing transactions on the Bitcoin, Ethereum, and Solana networks;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identification of Satoshi Nakamoto, the pseudonymous person or persons who developed Bitcoin, or the transfer of Satoshi’s bitcoin;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negative perception of Bitcoin, Ethereum, and Solana;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developments in mathematics, technology, digital computing, algebraic geometry, and quantum computing that could result in the cryptography which is used by Bitcoin, Ethereum, and Solana becoming insecure or ineffective;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legal proceedings or regulatory enforcement actions, judgments, or settlements impacting digital asset industry participants;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regulatory, legislative, or other compulsory or informal restrictions or limitations on Bitcoin, Ethereum, and Solana lending, mining, or staking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liquidity and credit risk issues experienced by other digital asset platforms and other participants of the digital asset industry;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laws and regulations affecting the Bitcoin, Ethereum, and Solana networks or access to these networks, including a determination that either Bitcoin, Ethereum, or Solana constitutes a security or other regulated financial instrument under the laws of any jurisdiction.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 significant amount of the trading volume on our platform is derived from a relatively small number of institutional market makers, and the loss of these market makers, or a reduction in their trading volume, could have an adverse effect on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relatively small number of institutional market makers have historically accounted for around half of the total trading volume on our platform. We expect significant trading volume and net revenue attributable to these market makers for the foreseeable future. As a result, while our business is not materially dependent on any single user, a loss of these market makers, or a reduction in their trading volume, and our inability to replace them, could have an adverse effect on our business,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operating expenses may increase in the future, and absent corresponding revenues we may not be able to achieve profitability or positive cash flow from operations, which may cause our business, operating results, and financial condition to be adversely impacted.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expenses may increase in the future as we continue to attract and retain talent, expand our sales and marketing efforts, develop additional products and services, expand our international business, and incur regulatory or compliance expenses. While we consistently evaluate opportunities to drive efficiency, we cannot guarantee that these efforts will be successful. Our operations may prove more expensive than we currently anticipate, and we may not succeed in increasing our net revenue sufficiently to offset these higher expenses. Our revenue growth may be further impacted by reduced demand for our offerings, increased competition, adverse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41"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macroeconomic conditions, a decrease in the growth or size of the digital asset industry, regulatory uncertainty or scrutiny, or changes that impact our ability to offer certain products or services, any failure to capitalize on growth opportunities, or failure of new products and services we develop to gain traction in the market. We cannot be certain that we will be able to achieve profitability or achieve positive operating cash flow in any period. If we are unable to effectively manage these risks and difficulties as we encounter them, our business, operating results, and financial condition may suffer.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Adverse economic conditions may adversely affect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performance is subject to general economic conditions, and their effects on the digital asset markets and our users. The United States and other key international economies have periodically experienced cyclical downturns in which economic activity declined resulting in lower consumption rates, restricted credit, reduced profitability, weaknesses in financial markets, bankruptcies, and overall heightened economic uncertainty. Adverse general economic conditions have impacted digital assets, although the extent of which remains uncertain and dependent on a variety of factors, including market adoption of digital assets, global trends in the digital asset industry, central bank monetary policies, instability in the global banking system, and other events beyond our control. Geopolitical developments, such as trade wars and foreign exchange limitations, can also increase the severity and levels of unpredictability globally and increase the volatility of global financial and digital asset markets. For example, capital and credit markets have experienced extreme volatility and disruptions in the past, leading to significant declines in the value of digital assets. To the extent general economic conditions and digital assets markets materially deteriorate or the current decline continues for a prolonged period, our ability to generate revenue and to attract and retain users could suffer and our business, operating results, and financial condition could be adversely affected. Moreover, even if general economic conditions improve, there is no guarantee that the digital asset industry will similarly improve.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in 2022, several blockchain protocols and digital asset financial firms, and in particular protocols and firms involving high levels of financial leverage such as high-yield lending products or derivatives trading, suffered from insolvency and liquidity crises, including FTX, Celsius Networks, Voyager, and Three Arrows Capital. Some of these failures are alleged or have been held to be the result of fraudulent activity by insiders, including misappropriation of user funds, illicit activity, and failures in internal controls. In connection with these incidents, concerns were raised about the potential for a market condition where the failure of one company leads to the financial distress of other companies. If such a market condition were to become widespread in the digital asset industry, we could suffer from increased counterparty risk, including defaults or bankruptcies of major users or counterparties, which could lead to significantly reduced activity on our platform and fewer available digital asset market opportunities in general. Further, forced selling of digital assets by distressed companies could lead to lower digital asset prices and may lead to a reduction in our revenue. To the extent that conditions in the general economic and digital asset markets were to materially deteriorate, our ability to attract and retain users may suffer.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regarding such events or other similar risks, have in the past and may in the future lead to market-wide liquidity problems. For example, in March 2023, Silvergate Capital Corp. announced it would wind down operations and liquidate Silvergate Bank. Soon after, the Federal Deposit Insurance Corporation was appointed as receiver for Silicon Valley Bank and Signature Bank. As a result of these developments and related issues with other financial institutions, the prices of fiat-backed stablecoins were temporarily impacted and may be similarly impacted again in the future. Instability in the global banking system could have negative ramifications, such as additional market-wide liquidity problems or impacted access to deposits and investments for users of affected banks and certain banking partners. Our business, operating results, and financial condition could be adversely affected as a result.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42"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respect to our credit card business, economic downturns may negatively affect our cardholders’ ability to repay outstanding debt, leading to increased delinquency and default rates. During periods of economic stress, such as recessions or rising unemployment, cardholders may face reduced income or financial instability, impairing their ability to meet payment obligations. Higher delinquency rates can result in increased credit losses and may require us to increase our loan loss reserves, which could adversely affect our profitability. Additionally, prolonged economic hardship may limit our ability to recover on charged-off accounts, further impacting financial performance. These factors could significantly impact our credit card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Fluctuations in currency exchange rates could harm our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generated and expenses incurred from our international operations are often denominated in the currencies of the local countries. Accordingly, changes in the value of foreign currencies relative to the U.S. dollar can affect our operating results reflected in our U.S. dollar-denominated financial statements. Our financial results are also subject to changes in exchange rates that impact the settlement of transactions in non-functional currencies. As a result, it could be more difficult to detect underlying trends in our business and operating results. To the extent that fluctuations in currency exchange rates cause our operating results to differ from expectations of investors, the market price of our Class A common stock could be adversely impacted. From time to time, we may engage in currency hedging activities to limit the risk of foreign currency exchange rate fluctuations. To the extent we use hedging instruments to hedge exposure to fluctuations in foreign currency exchange rates, the use of such hedging instruments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rate fluctuations could negatively impact 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level of prevailing short-term interest rates affects our profitability because we derive a portion of our revenue from interest earned from funds deposited with us by our users which we hold on their behalf in custodial accounts at banks and from stablecoin revenue, which is derived from interest earned on GUSD reserve balances. Higher interest rates increase the amount of interest income and stablecoin revenue earned from these activities. When short-term interest rates decline, our revenue derived from interest correspondingly declines, which negatively impacts our profitability. Further, if interest rates were to significantly decline from levels reached in the recent interest rate environment, our net revenue could decline. Conversely, when interest rates increase, investors may choose to shift their asset allocations, which could negatively impact our stock price or the digital asset industry more generally.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Rising interest rates may also materially and adversely impact our credit card program by impacting cardholders’ ability to repay outstanding balances, leading to higher delinquency and default rates. As interest rates increase, the cost of carrying debt rises for cardholders, which may strain their financial resources and reduce their capacity to meet monthly payment obligations. This environment could lead to a higher proportion of cardholders falling behind on payments, increasing our credit losses and requiring us to raise our loan loss reserves. Additionally, higher interest rates may reduce cardholder spending and demand for credit, which could limit the revenue, growth, and profitability of our credit card business. These effects could collectively harm our credit card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failure to safeguard and manage our and our users’ fiat currencies and digital assets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hold fiat currencies and safeguard digital assets on behalf of our users. Our expanding number of regulated entities will rely on an increasing number of hot, MPC, and cold wallets, as well as an increasing number of omnibus bank accounts, which heightens the complexity of our operations, including fiat and blockchain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43"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reconciliations and the maintenance of our internal ledger and related accounting procedures. Subcustodial arrangements among our various regulated entities adds to the operational complexity of our international operations. Delays, errors, or failures in these operations could result in investigations, regulatory and enforcement actions, or litigation, and adversely impact our reputation, business, operating results, and financial condition.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manage and accurately safeguard our users’ assets requires a high level of internal controls. As our business continues to grow and we expand our product and service offerings, we must continue to strengthen our associated internal controls and ensure that our third-party service providers do the same. Our success and the success of our offerings requires significant public confidence in our ability to properly manage users’ balances and handle large and growing transaction volumes and amounts of user funds. Any failure by us to maintain the necessary controls or to manage user digital assets and funds appropriately and in compliance with applicable regulatory requirements could result in reputational harm or significant financial losses, lead users to discontinue or reduce their use of our products, and result in significant penalties and fines and additional restrictions, which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deposit, transfer, and custody user cash and digital assets in multiple jurisdictions. In each instance, we are required to safeguard users’ assets using bank-level security standards applicable to our hot and cold wallet and storage systems, as well as our financial management systems related to such custodial functions. In general, the overwhelming majority of digital assets on our platform are held in cold storage. Our security technology is designed to prevent, detect, and mitigate inappropriate access to our systems, by internal or external threats. We believe we have developed and maintained administrative, technical, and physical safeguards designed to comply with applicable legal requirements and industry standards. However, it is nevertheless possible that hackers, employees, service providers, or others acting contrary to our policies could circumvent these safeguards to improperly access our systems or documents, or the systems or documents of our business partners, agents, or service providers, and improperly access, obtain, or misuse user digital assets and funds. The methods used to obtain unauthorized access, disable, or degrade service or sabotage systems are also constantly changing and evolving and may be difficult to anticipate or detect for long periods of time.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hold fiat currency and digital assets for administrative and operating purposes. We segregate such assets from our users’ assets by maintaining an internal ledger that distinguishes between customer assets, company assets, and those of affiliates or others. We perform monthly reconciliations between this ledger and onchain balances, maintain an audit trail of all ledger and trading activity, and utilize controls that are subject to our SOC 1 Type 2 exam. Despite these steps we take to segregate such assets from our user assets, any failure to properly safeguard, manage, or account for these funds could result in financial losses, regulatory scrutiny, reputational harm, or legal liability.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loss or destruction of a private key required to access our or our users’ digital assets may be irreversible. If we are unable to access our private keys or if we experience a hack or other data loss relating to the digital assets we hold on behalf of users, our users may be unable to access their digital assets, which could harm user trust in us and our products and services and cause regulatory scrutiny.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own, transfer, and use a digital asset on an underlying blockchain network, a person must have a private and public key pair associated with a blockchain address, commonly referred to as a “wallet.” Digital assets are generally controllable only by the possessor of the unique private key relating to the wallet in which the digital assets are held. To the extent that any of the private keys or other necessary credentials relating to our wallets containing digital assets held for our own account or for our users is lost, destroyed, or otherwise compromised or unavailable, and no backup of the private key is accessible, we will be unable to access the digital assets held in the related wallet. Any loss of private keys or other credentials relating to, or hack or other compromise of, digital wallets used to store our users’ digital assets could adversely affect our users’ ability to access or sell their digital assets, require us to reimburse our users for their losses, and subject us to significant financial losses in addition to losing user trust in us and our products and services. As such, any loss of private keys or other digital wallet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44"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credentials due to a hack, employee or service provider misconduct or error, or other compromise by third parties could negatively impact our brand and reputation, result in significant losses, and adversely impact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Cyberattacks and security breaches—whether affecting our platform, our employees, our users, or third parties—could adversely impact our brand and reputation and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involves the collection, storage, transmission, and processing of confidential information such as user, employee, service provider, and other personal data, and information required to access user assets. We have built our reputation on the premise that our platform offers users a secure way to purchase, store, and transact in digital assets. As a result, any actual or perceived security breach affecting us or our third-party partners may: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harm our reputation and brand;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result in our systems, networks, or services being unavailable and interrupt our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result in improper disclosure of data and violations of applicable privacy and data protection laws;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result in significant regulatory scrutiny, investigations, fines, penalties, and other legal, regulatory, and financial exposure;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cause us to incur significant remediation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lead to theft or irretrievable loss of our or our users’ fiat currencies or digital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reduce user confidence in, or decreased use of, our products and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divert the attention of management from the operation of our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result in significant compensation or contractual penalties from us to our users or third parties as a result of losses to them or claims by them;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adversely affect our business and operating results.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example, in 2022, certain of our third-party vendors and suppliers experienced data breaches, which resulted in the exposure of the email addresses and phone numbers of certain of our users, and corresponding notification to those users and applicable regulators. Further, in June 2024, an unauthorized actor breached the systems of a service provider of one of our third-party ACH banking partners, affecting approximately 15,000 of our users, resulting in notification to those users and applicable regulators. In each case, there were no material failures of our technology systems.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increasing number of organizations, including large merchants, businesses, technology companies, financial institutions, and government institutions have disclosed breaches of their information security systems and networks, some of which have involved sophisticated and highly targeted attacks, on their or their third-party service providers’ websites, mobile applications, and infrastructure. Any actual or perceived breach or cybersecurity attack directed at other financial institutions or digital asset companies, whether or not we are directly impacted, could lead to a general loss of user confidence in the digital asset industry or in the use of technology to conduct financial transactions, which could negatively impact us and market perception of the effectiveness of our security measures and technology infrastructure.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Attacks upon systems and networks across a variety of industries, including the digital asset industry, are increasing in their frequency, persistence, and sophistication, and, in many cases, are being conducted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6840"/>
                <wp:effectExtent l="0" t="0" r="0" b="0"/>
                <wp:wrapNone/>
                <wp:docPr id="45"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sophisticated, well-funded, and organized groups and individuals which include state actors. The techniques used to obtain unauthorized, improper, or illegal access to systems and information (including users’ personal data and digital assets), disable or degrade services, or sabotage systems are constantly evolving, may be difficult to detect quickly, and often are not recognized or detected until after they have been launched against a target. Such threats may see their frequency increased and effectiveness enhanced by the use of artificial intelligence (“AI”). Further, these risks may be heightened in connection with ongoing global conflicts, such as Russia’s invasion of Ukraine or the conflicts in the Middle East. Attacks may occur on our systems and networks or those of our third-party service providers or partners. Certain types of cyberattacks could harm us even if our systems and networks remain undisturbed. Attacks may be designed to exploit operational vulnerabilities or other weaknesses in our processes or procedures, to deceive employees and service providers into releasing control of our systems or networks, or to introduce computer viruses and malware into our systems or networks with the intent to steal confidential or proprietary data. Additionally, certain threats are designed to remain dormant or undetectable until launched against a target, and we may not be able to implement adequate preventative measures.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have developed systems and processes designed to protect the data we manage, prevent data loss and other security breaches, effectively respond to known and potential risks, and expend significant resources to bolster these protections, there can be no assurance that these security measures will provide absolute security or prevent breaches or attacks. We have in the past and may, from time to time, experience future breaches of our security measures, which may or may not materially affect our business operations. These breaches may be due to human error, malfeasance, insider threats, system errors, system vulnerabilities and other irregularities. Unauthorized parties have attempted, and we expect that they will continue to attempt, to gain access to our systems and networks, as well as those of our users, partners, and third-party service providers, through various means, including hacking, social engineering, phishing, ransomware, denial-of-service attacks, and attempting to fraudulently induce individuals (including employees, service providers, and our users) into disclosing usernames, passwords, payment card information, and other sensitive information, which may in turn be used to access our information technology systems and users’ digital assets. Threats can come from a variety of sources such as criminal hackers, hacktivists, state-sponsored intrusions, industrial espionage, and insiders. Certain threat actors may be supported by significant financial and technological resources, making them even more sophisticated and difficult to detect. We may also acquire other companies that expose us to unexpected security risks or increase costs to improve the security posture of the acquired company. Further, there has been an increase in such threat actor activities because of the increased prevalence of hybrid and remote working arrangements in recent years. As a result, our costs and the resources we devote to protecting against these advanced threats and their consequences may continue to increase over time. Any perceived or actual security breach—whether affecting our platform, our users, or third parties—may expose us to legal risk and potential liability, including governmental or regulatory investigations and class action litigation.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generally perform cybersecurity diligence on our key third-party service providers, we do not control our third-party service providers and our ability to monitor their cybersecurity measures is limited. Some of our third-party service providers may store or have access to our data and may not have effective controls, processes, or practices to protect our information from data breaches or other cybersecurity incidents. A vulnerability in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 Due to applicable laws and regulations or contractual obligations, we may be held responsible for data breaches or other cybersecurity incidents attributed to our service providers as they relate to the information we share with them. Such incidents could expose us to significant financial and legal liabilities, including regulatory fines, penalties, litigation, and remediation costs.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Although we maintain insurance coverage, it may be insufficient to protect us against all losses and costs stemming from security breaches, cyberattacks, other types of unlawful activity or resulting disruptions, data theft, and loss from such events. We cannot be certain that our insurance coverage will continue to be available to us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46"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economically reasonable terms, if at all, or that any insurer will not deny coverage as to any future claims. Outages and disruptions of our platform, including any caused by cyberattacks, may harm our reputation and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Custody services, and any blockchain technology on which they rely, may be the target of cyberattacks or may contain exploitable flaws in their underlying code, which may result in security breaches and the loss or theft of digital assets that are held or deposited.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Custody services, their structural foundation, and the software applications and other interfaces or applications upon which they rely (including blockchain technology) are based on relatively new technologies, and there can be no assurances that custody services are or will be fully secure, which may result in losses of users’ digital assets and an unwillingness of market participants to access, adopt, and utilize digital assets or the custody services. Examples of the above include but are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cyberattack causing a user withdrawal instruction, or a withdrawal address being altered;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user receiving an incorrect blockchain address, or us sending digital assets to the wrong blockchain address;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hardware failures delaying or preventing deposits and withdrawals;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tampering or spoofing of user instructions and materials;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deposit addresses being incorrectly stored;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hacking or unavailability of user portals rendering users unable to access their account;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vulnerabilities within the applicable blockchain code arising or the blockchain being manipulated by a malicious actor;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attacks on third-party technology supplier infrastructure, such as cloud providers;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cyberattack causing the individual to lose otherwise valid credentials;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tampering with laptop codes to cause withdrawals to incorrect withdrawal addresses;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bad acts by employees, third-party service providers, and others.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will take steps to ensure security and protection against such incidents, no assurance can be given that our custody services are or will be fully secure and protected from attack, and any failure in this regard could result in enforcement actions, litigation, significant costs being incurred, fines, and other penalties, thereby adversely affecting our reputation, business, operating results, and financial condition. The impact of such attacks could also negatively impact the utilization of digital assets and potentially result in a decline in the broader market price of the affected digital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Any significant disruption in our products and services, in our information technology systems, or in any of the blockchain networks we support, could result in a loss of users or funds and adversely impact our brand and reputation and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reputation and ability to attract and retain users and grow our business depends on our ability to operate our service at high levels of reliability, scalability, and performance, including the ability to process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6840"/>
                <wp:effectExtent l="0" t="0" r="0" b="0"/>
                <wp:wrapNone/>
                <wp:docPr id="47"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monitor, on a daily basis, a large number of transactions that occur at high volume and frequencies across multiple systems. Our digital asset exchange and the ability of our users to trade digital assets are dependent on our ability to access the blockchain networks underlying the supported digital assets, for which access is dependent on our systems’ ability to access the internet. Further, the successful and continued operations of such blockchain networks will depend on a network of computers, miners, or validators, and their continued operations, all of which may be impacted by service interruptions.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systems, the systems of our third-party service providers and partners, and certain digital asset and blockchain networks have experienced from time to time, and may experience in the future, service interruptions or degradation. This can be due to hardware and software bugs, defects, or malfunctions, distributed denial-of-service and other cyberattacks, insider threats, break-ins, sabotage, human error, vandalism, earthquakes, hurricanes, floods, fires, and other natural disasters, power losses, disruptions in telecommunications services, fraud, military or political conflicts, terrorist attacks, computer viruses or other malware, or other events. In addition, extraordinary trading volumes or site usage could cause our computer systems to operate at an unacceptably slow speed or even fail. Some of our systems, including systems of companies we have acquired, or the systems of our third-party service providers and partners are not fully redundant, and our or their disaster recovery planning may not be sufficient for all possible outcomes or events.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any of our systems or networks, or those of our third-party service providers, are disrupted for any reason, as has happened in the past, our products and services may be interrupted or even fail, potentially resulting in unanticipated disruptions, slower response times and delays in our users’ trade execution and processing, failed settlement of trades, delays in withdrawing stakes assets, incomplete or inaccurate accounting, recording, or processing of trades, unauthorized trades, loss of user information, increased demand on limited user support resources, user claims, complaints with regulatory organizations, lawsuits, or enforcement actions. A prolonged interruption in the availability or reduction in the availability, speed, or functionality of our products and services could harm our operations, including our exchange, custody, credit card, and prediction market businesses. Significant or persistent interruptions in our services could cause current or potential users or partners to believe that our systems are unreliable, leading them to switch to our competitors or to avoid or reduce the use of our products and services, and could permanently harm our reputation. Moreover, to the extent that any system failure or similar event results in damages to our users or their business partners, these users or partners could seek significant compensation or contractual penalties from us for their losses, and those claims, even if unsuccessful, would likely be time-consuming and costly for us to address. Problems with the reliability or security of our systems would harm our reputation and the cost of remedying these problems could negatively affect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data processing systems, or other operating systems and facilities, and those of our third-party service providers, may stop operating properly or become disabled or damaged as a result of a number of factors, including events that are wholly or partially beyond our and our third-party service providers’ control. While we have business continuity, disaster recovery and other policies and procedures designed to prevent or limit the effect of the failure, interruption, or security breach of our information systems, there can be no assurance that any such failures, interruptions or security breaches will not occur or, if they do occur, that they will be adequately covered or addressed by such policies and procedures. Furthermore, if such failures, interruptions, or security breaches are not detected immediately, their effect could be compounded. Our risk and exposure to these matters remains heightened because of the evolving nature of these threats and our use of third-party service providers with access to our systems and data.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we are a regulated financial institution in certain jurisdictions, interruptions may result in regulatory scrutiny, and significant or persistent interruptions could lead to significant fines and penalties, and mandatory and costly changes to our business practices, and ultimately could cause us to lose existing licenses or banking relationships that we need to operate or prevent or delay us from obtaining additional licenses that may be required for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6840"/>
                <wp:effectExtent l="0" t="0" r="0" b="0"/>
                <wp:wrapNone/>
                <wp:docPr id="48"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are continually improving and upgrading our information systems and technologies. Implementation of new systems and technologies is complex, expensive, time-consuming, and may not be successful. If we fail to timely and successfully implement new information systems and technologies, or improvements or upgrades to existing information systems and technologies, or if such systems and technologies do not operate as intended, it could have an adverse impact on our business, internal controls (including internal controls over financial reporting),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platform may be exploited to facilitate illegal activity such as fraud, money laundering, terrorist financing, proliferation financing, tax evasion, and scams. If any of our users use our platform to further such illegal activities, our business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platform may be exploited to facilitate illegal activity including fraud, money laundering, terrorist financing, proliferation financing, tax evasion, and scams. The use of our platform for illegal or improper purposes could subject us to claims, individual and class action lawsuits, and government and regulatory investigations, prosecutions, enforcement actions, inquiries, or requests that could result in liability and reputational harm for us. Moreover, certain activities that may be legal in one jurisdiction may be illegal in another jurisdiction, and certain activities that are at one time legal may in the future be deemed illegal in the same jurisdiction. As a result, there is significant uncertainty and cost associated with detecting and monitoring transactions for compliance with local laws. In the event that a user is found responsible for intentionally or inadvertently violating the laws in any jurisdiction, we may be subject to governmental inquiries, enforcement actions, or prosecution, or otherwise held secondarily liable for aiding or facilitating such activities. Changes in law have also increased the penalties for money transmitters for certain illegal activities, and government authorities may consider increased or additional penalties from time to time. Owners of intellectual property rights or government authorities may seek to bring legal action against money transmitters, including us, for involvement in the sale of infringing or allegedly infringing items. Any threatened or resulting claims could result in reputational harm, and any resulting liabilities, loss of transaction volume, or increased costs could harm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while fiat currencies can be used to facilitate illegal activities, digital assets are relatively new and, in many jurisdictions, may be lightly regulated or largely unregulated. Many types of digital assets have characteristics, such as the speed with which digital currency transactions can be conducted, the ability to conduct transactions without the involvement of regulated intermediaries, the ability to engage in transactions across multiple jurisdictions, the irreversible nature of certain digital asset transactions, and encryption technology that anonymizes these transactions, that make digital assets susceptible to use in illegal activity. U.S. federal and state and foreign regulatory authorities and law enforcement agencies, such as the Department of Justice, SEC, CFTC, the FTC, or the Internal Revenue Service (“IRS”), and various state securities and financial regulators have taken and continue to take legal action against persons and entities alleged to be engaged in fraudulent schemes or other illicit activity involving digital assets. We also support digital assets that incorporate privacy-enhancing features, and may from time to time support additional digital assets with similar functionalities. These privacy-enhancing digital assets obscure the identities of sender and receiver, and may prevent law enforcement officials from tracing the source of funds on the blockchain. Facilitating transactions in these digital assets may cause us to be at increased risk of liability arising out of anti-money laundering (“AML”) and economic sanctions laws and regulations.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believe that our risk management and compliance framework is designed to detect significant illicit activities conducted by our potential or existing users, we cannot ensure that we will be able to detect all illegal activity on our platform. Illegal activity, the appearance of illegal activity, or government inquiries into the potential for illegal activity may have an adverse impact on our business, operating results, and financial condition. Further, any efforts to identify and remedy such illegal or fraudulent activity may be costly, time-consuming and ultimately may not be successful. If any of our users use our platform to further such illegal activities, our business and reputation could be materially and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6840"/>
                <wp:effectExtent l="0" t="0" r="0" b="0"/>
                <wp:wrapNone/>
                <wp:docPr id="49"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From time to time, we may encounter technical issues in connection with the integration of supported digital assets and changes and upgrades to their underlying networks, which could adversely affect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to support any supported digital asset, a variety of front and back-end technical and development work is required to implement our wallet, custody, trading, staking and other solutions for our users, and to integrate such supported digital assets with our existing technical infrastructure. Some digital assets require extensive development work, and there is no guarantee that we will be able to integrate successfully with any existing or future digital asset. In addition, such integration may introduce software errors or weaknesses into our cryptocurrency exchange, including our existing infrastructure. Even if such integration is initially successful, any number of technical changes, software upgrades, soft or hard forks, cybersecurity incidents, or other changes to the underlying blockchain network may occur from time to time, causing incompatibility, technical issues, disruptions, or security weaknesses to our digital asset exchanges. If we are unable to identify, troubleshoot and resolve any such issues successfully, we may be forced to stop supporting the affected digital asset. This could result in frozen or lost user assets, compromised wallet security, and disruptions to our digital asset exchange and technical infrastructure, all of which could adversely impact our business.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Relatedly, as new product features or additional supported assets are made available by our digital asset exchanges, the various system components and supporting function systems may not integrate properly and the new product features may not be sufficient to meet the needs of our users. Such potential technical limitations may limit our ability to effectively respond to industry and regulatory changes, market demands, or user needs. For more information, see “</w:t>
      </w:r>
      <w:r>
        <w:rPr>
          <w:color w:val="000000"/>
        </w:rPr>
        <w:t>—</w:t>
      </w:r>
      <w:r>
        <w:rPr>
          <w:rFonts w:ascii="Times New Roman;serif" w:hAnsi="Times New Roman;serif"/>
          <w:b w:val="false"/>
          <w:i/>
          <w:color w:val="000000"/>
          <w:sz w:val="20"/>
        </w:rPr>
        <w:t>Risks Relating to our Business and Industry—If we cannot keep pace with rapid industry changes to provide new and innovative products and services, the use of our products and services, and consequently our net revenue, could decline, which could adversely impact our business, operating results, and financial condition.</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insurance coverage is limited, may not cover all losses, and could be hard to maintain in the future.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on insurance carriers to insure losses resulting from a breach of our physical security or cybersecurity measures, or by employee or third-party theft. Our insurance coverage for such malfeasance is limited and may not cover the extent of loss nor the nature of such loss, in which case we may be liable for the full amount of losses suffered, which could be greater than all of our assets. Our ability to maintain such insurance is subject to the insurance carriers’ ongoing underwriting criteria. Our inability to obtain and maintain appropriate insurance coverage could result in substantial business disruption, adverse reputational impact, inability to compete with our competitors, and regulatory scrutiny. Any loss of a user’s fiat currency or digital assets could result in a subsequent lapse in insurance coverage, which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operate in a highly competitive industry and we compete against unregulated or less regulated companies. We also face competition from DEXs and DAOs, which may be able to innovate faster and offer products and services that we do not offer. We also compete against companies with greater financial and other resources. Our business, operating results, and financial condition may be adversely affected if we are unable to respond to competition effectively.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digital asset industry is highly innovative, rapidly evolving, characterized by competition, experimentation, changing user needs, frequent introductions of new products and services, and uncertain and evolving industry and regulatory requirements. We expect competition across our products and services to further intensify in the future as existing and new competitors introduce new products and services or enhance existing products and services. We compete against a number of companies operating both within the United States and abroad, including those that focus on traditional financial services and those that focus on digital asset-based services.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current and contemplated competition falls into the following categories: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6840"/>
                <wp:effectExtent l="0" t="0" r="0" b="0"/>
                <wp:wrapNone/>
                <wp:docPr id="50"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highly regulated digital asset custodians and exchanges, both in the U.S. and abroad;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certain foreign digital asset custodians and exchanges that are either unregulated or subject to significantly less stringent or onerous regulation, some of whom are potentially able to more quickly adapt to trends, support a greater number of digital assets, and develop new digital asset-based products and services due to less stringent or onerous regulatory scrutiny;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DEXs, DAOs, and dApps;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stablecoin issuers, both in the U.S. and other jurisdictions;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traditional financial technology and brokerage firms that have entered, or may enter, the digital asset market to offer overlapping features targeted at our users;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credit card issuers in the credit card market, which makes it potentially difficult to attract and retain users for our Gemini Credit Card due to intense competition.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Historically, a major source of competition has been from companies, in particular those located outside the U.S., who at times are and may in the future be subject to significantly less stringent regulatory and compliance requirements in their local jurisdictions. Their business models benefit from being unregulated or only regulated in a small number of jurisdictions with less onerous regulations than the U.S., while also offering their products in highly regulated jurisdictions, including the United States, without necessarily complying with the relevant regulatory requirements in such jurisdictions. Our ability to compete with these companies is limited. Due to the fact that we hold licenses in several jurisdictions with developed regulatory regimes, we have not been able to offer products and services that some users may desire, including products and services that our unregulated or less regulated competitors offer to our users.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compete against an increasing number of DeFi and noncustodial platforms, including DEXs and DAOs. On these platforms, users can interact directly with a market-making smart contract or onchain trading mechanism to exchange one type of digital asset for another without any centralized intermediary.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platforms are typically not as easy to use as our platform, and some lack the speed and liquidity of centralized platforms, but various innovative models and incentives have been designed to bridge the gap. In addition, such platforms have low startup and entry costs as market entrants often remain unregulated and have minimal operating and regulatory costs. A large number of decentralized platforms have been developed and released on Ethereum, Tron, Polkadot, Solana, and other platforms, many of which have experienced significant growth and adoption. Concerns about the security of assets following incidents on centralized exchanges, such as the Chapter 11 bankruptcy filing of FTX and convictions for fraud and mismanagement of funds of its founder and former CEO, may increase adoption of decentralized and noncustodial platforms. Decentralized exchanges may also not require their users to fill out Know Your Customer (“KYC”) forms, offering an additional layer of privacy to users. We expect interest in decentralized and noncustodial platforms to grow further as the industry develops. If our users move to these decentralized exchanges, our revenue may decline and our business, operating results, and financial condition will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expended significant managerial, operational, and compliance costs to meet the legal and regulatory requirements applicable to us in the United States and other jurisdictions in which we operate, and expect to continue to incur significant costs to comply with these requirements, which these unregulated or less regulated competitors, particularly those structured as DEXs and DAOs, have not had and may not have to incur.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6840"/>
                <wp:effectExtent l="0" t="0" r="0" b="0"/>
                <wp:wrapNone/>
                <wp:docPr id="51"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Prediction markets, in particular, have recently emerged as a highly competitive market, with new players expected to enter the field in the near future. If we do not secure substantial market share quickly, we may face intensified challenges in competing effectively with other entrants, which could harm our operating results. Similarly, if we are unable to capture a significant market share in the credit card industry, the intense competition within this already saturated market could make it challenging to differentiate our product and achieve our growth targets.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given the broad scope of our products and services, we also compete with digital and mobile payment companies and anticipate increasing competition from traditional financial services companies. Many innovative startup companies and larger companies have made, and continue to make, significant investments in research and development, and we expect these companies to continue to develop similar or superior products and technologies that compete with our products. Further, more traditional financial and non-financial services businesses may choose to offer digital asset-based services in the future as the industry gains adoption. Our current and potential competitors may establish cooperative relationships among themselves or with third parties that may further enhance their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current and potential competitors possess various competitive advantages over us,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to trade digital assets and offer products and services that we do not support or offer on our platform (due to constraints from regulatory authorities, our banking partners, and other factors) such as tokens that constitute securities or derivative instruments under U.S. or foreign laws;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greater name recognition, longer operating histories, larger user bases, and larger market shares;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larger sales and marketing budgets and organizations;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more established marketing, banking, and compliance relationships;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greater user support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greater resources to make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lower labor, compliance, risk mitigation, and research and development costs as a percentage of revenues;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larger and more mature intellectual property portfolios;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greater number of applicable licenses or similar authorizations;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established core business models outside of the trading of digital assets, allowing them to operate on lower margins or at a loss;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operations in certain jurisdictions with lower compliance costs and greater flexibility to explore new product offerings;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substantially greater financial, technical, and other resources.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are unable to compete successfully, or if competing successfully requires us to take costly actions in response to the actions of our competitors, our business, operating results, and financial condition could be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6840"/>
                <wp:effectExtent l="0" t="0" r="0" b="0"/>
                <wp:wrapNone/>
                <wp:docPr id="52"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cannot keep pace with rapid industry changes to provide new and innovative products and services, the use of our products and services, and consequently our net revenue, could decline, which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industry has been characterized by many rapid, significant, and disruptive products and services in recent years. These include dApps, DeFi, yield farming, NFTs, play-to-earn games, lending, staking, liquid staking and restaking, token wrapping, governance tokens, innovative programs to attract users such as transaction fee mining programs, initiatives to attract traders such as trading competitions, airdrops and giveaways, staking reward programs, Layer 2 blockchain networks, and novel cryptocurrency fundraising and distribution schemes, such as initial coin offerings. We expect new services and technologies to continue to emerge and evolve, which may be superior to, or render obsolete, the products and services that we currently provide. For example, disruptive technologies such as generative AI may fundamentally alter the use of our products or services in unpredictable ways. We cannot predict the effects of new services and technologies on our business. However, our ability to grow our user base and net revenue will depend heavily on our ability to innovate and create successful new products and services, both independently and in conjunction with third-party developers. In particular, developing and incorporating new products and services into our business may require substantial expenditures, take considerable time, and ultimately may not be successful. Any new products or services could fail to attract users, generate revenue, or perform or integrate well with third-party applications and platforms. We may periodically reevaluate, scale back, or discontinue certain product or service offerings if they do not perform as anticipated or meet our commercial viability criteria, which could result in additional costs, operational disruption or reputational harm. In addition, our ability to adapt and compete with new products and services may be inhibited by regulatory requirements and general uncertainty in the law, including risks associated with pursuing or operating under new or evolving regulatory frameworks, constraints by our banking partners and payment processors, third-party intellectual property rights, or other factors. Moreover, we must continue to enhance our technical infrastructure and other technology offerings to remain competitive and maintain a platform that has the required functionality, performance, capacity, security, and speed to attract and retain users, including large, institutional, high-frequency, and high-volume traders. As a result, we expect to incur significant costs and expenses to develop and upgrade our technical infrastructure to meet the evolving needs of the industry. Our success will depend on our ability to develop and incorporate new offerings and adapt to technological changes and evolving industry practices. If we are unable to do so in a timely or cost-effective manner, our business and our ability to successfully compete, to retain existing users, and to attract new users may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fail to effectively manage our growth, scale our operations, or implement workforce changes as needed, our business and operating results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2024 and 2025, we experienced a period of significant growth in terms of employee headcount, international footprint, and user growth. As our business changes, it becomes increasingly complex. To effectively manage and capitalize on our growth periods, we need to manage headcount, capital and processes efficiently while making investments such as expanding our information technology and financial, operating, and administrative systems and controls. Growth initiatives could strain our existing resources, and we could experience ongoing operating difficulties in managing our business as it expands across numerous jurisdictions, including difficulties in hiring, training, managing, and retaining a partially remote and evolving employee base. If we do not adapt or scale to meet these evolving challenges, our systems and processes may not scale effectively, we may experience erosion to our brand, the quality of our products and services may suffer, and our company culture may be harmed. The failure of our systems and processes could undermine our ability to provide accurate, timely, and reliable reports on our financial and operating results, and could impact the effectiveness of our internal controls over financial reporting. In addition, our systems and processes may not prevent or detect all errors, omissions, or fraud. Any of the foregoing operational failures could lead to non-compliance with laws, loss of operating licenses or other authorizations, or loss of bank relationships that could substantially impair or even suspend company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6840"/>
                <wp:effectExtent l="0" t="0" r="0" b="0"/>
                <wp:wrapNone/>
                <wp:docPr id="53"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Successful implementation of our growth strategy will also require significant expenditures before any substantial associated revenue is generated and we cannot guarantee that these increased investments will result in corresponding and offsetting revenue growth. 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digital asset market in which we operate, substantial uncertainty concerning how these markets may develop, and other economic factors beyond our control, reduces our ability to accurately forecast quarterly or annual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from time to time, we realign our resources and talent to implement stage-appropriate business strategies, including furloughs, layoffs, and reductions in force. For example, in an effort to reduce operating expenses, we have had to strategically reduce our workforce in the past, including in 2024 and earlier this year as part of the Plan (as defined below). Any reduction in force may not achieve the anticipated benefits they were designed to achieve. In addition, in February 2026, we parted ways with our Chief Financial Officer, Chief Operating Officer, and Chief Legal Officer, and these leadership changes, together with our workforce reduction in connection with the Plan, may increase operational disruptions, reduce our ability to maintain and improve our systems and controls, and result in the loss of institutional knowledge, including through unplanned attrition. Reductions in force may also adversely affect employee morale and productivity, make it more difficult to hire and retain qualified personnel in the future, and harm our company culture. Any failure to effectively manage our growth or any scaling back of our operations could have an adverse effect on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remain open to, and continue to consider, opportunistic acquisitions and investments, which could require significant management attention, disrupt our business and, if consummated, result in dilution to our stockholders and adversely affect our financial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our business strategy, we continue to routinely conduct discussions and evaluate opportunities for possible acquisitions, strategic investments, entries into new businesses, joint ventures, and other transactions. In the future, the pace and scale of our acquisitions may increase and may include larger acquisitions than we have done historically. Through our venture subsidiaries, Gemini Frontier Fund, LLC and Gemini Frontier Fund Cayman, LLC (collectively, “Gemini Frontier Fund”), we also invest in companies and technologies, many of which are private companies and technologies that are highly speculative in nature. In the future, we may not be able to find other suitable acquisition and investment candidates, and we may not be able to complete acquisitions or make investments on favorable terms, if at all. In some cases, the costs of such acquisitions may be substantial, and there is no assurance that we will receive a favorable return on investment for our acquisitions. We may in the future be required to write off acquisitions or investments.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our previous and future acquisitions may not achieve our goals, and any future acquisitions we complete could be viewed negatively by users or investors. In addition, if we fail to successfully close or integrate any acquisitions, or integrate the products or technologies associated with such acquisitions into our company, our net revenue and operating results could be adversely affected. Our ability to acquire and integrate companies, products, services, licenses, employees, or technologies in a successful manner is unproven. Any integration process may require significant time and resources, and we may not be able to manage the process successfully, including successfully securing regulatory approvals which may be required to consummate the transaction and to continue to operate the target firm’s business or products in a manner that is useful to us. We may not successfully evaluate or utilize the acquired products, services, technology, or personnel, or accurately forecast the financial impact of an acquisition transaction, including accounting charges. We may have to pay cash, incur debt, or issue equity securities to pay for any such acquisition, any of which could adversely affect our financial results. The sale of equity or issuance of convertible debt to finance any such acquisitions could result in dilution to our stockholders, which, depending on the size of the acquisition, may be significant. The incurrence of indebtedness would result in increased fixed obligations and could also include covenants or other restrictions that would impede our ability to manage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6840"/>
                <wp:effectExtent l="0" t="0" r="0" b="0"/>
                <wp:wrapNone/>
                <wp:docPr id="54"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and maintaining subsidiaries outside the United States exposes us to significant regulatory, operational, and compliance risks.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have subsidiaries in the United States and abroad. We have a limited operating history outside the United States, and our ability to manage our business and conduct our operations internationally requires considerable management attention and resources and is subject to particular challenges of supporting a growing business in an environment of diverse cultures, languages, customs, tax regimes, legal systems, alternate dispute systems, and regulatory systems. If we expand our business and user base outside the United States, we will be increasingly susceptible to risks associated with international operations. These risks and challenges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difficulty establishing and managing international operations and the increased operations, travel, infrastructure, including establishment of local user service operations, local infrastructure to manage supported cryptocurrency or other financial instruments and corresponding books and records, and legal and regulatory compliance costs associated with different jurisdictions;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potential need to vary pricing and margins to effectively compete in international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need to adapt and localize our products and services for specific countries, including offering services and support in local languages;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compliance with multiple, potentially conflicting and changing governmental laws and regulations across different jurisdictions;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compliance with U.S. and foreign laws designed to combat money laundering and the financing of terrorist activities, as well as economic and trade sanctions;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need to comply with a greater set of law enforcement inquiries;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compliance with the extraterritorial reach of any U.S. regulatory rules, including those imposed by the CFTC, SEC, the Financial Crimes Enforcement Network (“FinCEN”), or other U.S. based regulators;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compliance with anti-bribery laws, including compliance with the Foreign Corrupt Practices Act, the U.K. Bribery Act 2010, and other local anti-corruption laws;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obtaining and maintaining required licensing from regulators in foreign jurisdictions;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competition with companies that have greater experience in the local markets or pre-existing relationships with users in these markets or that are subject to less regulatory requirements in local jurisdictions;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varying levels of payments and blockchain technology adoption and infrastructure, and increased network, payment processing, banking, and other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collecting in foreign currencies and associated foreign currency exposure;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holding, repatriating, and transferring funds held in offshore bank accounts;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adapting to foreign customary commercial practices, enforcing contracts and collecting accounts receivable, longer payment cycles and other collection difficulties;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restrictions on digital asset trading;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6840"/>
                <wp:effectExtent l="0" t="0" r="0" b="0"/>
                <wp:wrapNone/>
                <wp:docPr id="55"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stringent local labor laws and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potentially adverse tax developments and consequences;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antitrust and competition regulations;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regional economic and political conditions.</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We have limited experience with most international regulatory environments and market practices and may not be able to penetrate or successfully operate in the markets we choose to enter. In addition, we may incur significant expenses as a result of our international expansion, if any, and we may not be successful. We may face limited brand recognition in certain parts of the world that could lead to non-acceptance or delayed acceptance of our products and services by users in new markets. We may also face challenges in complying with local laws and regulations. For example, we may be subject to regulatory frameworks that are evolving, have not undergone extensive rulemaking, and could result in uncertain outcomes for our users and/or our ability to offer competitive products or services in the broader digital asset industry. Our failure to successfully manage these risks could harm our international operations and have an adverse effect on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not realize the anticipated benefits of our planned exit and wind down of operations in the United Kingdom, the European Union, and Australia, including our related reduction in force.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we approved a plan to exit and wind down our operations in the United Kingdom, the European Union and other European jurisdictions, and Australia (the “Plan”), as part of a broader initiative to reduce operating expenses and support our path to profitability. In connection with the Plan, we announced a reduction in force of up to approximately 200 employees, including employees in Europe, the United States, and Singapore.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implemented the Plan based on a number of assumptions, and there can be no assurance that the Plan will produce the intended results or that the expected cost savings will be realized in the expected amounts or within the expected timeframes, or at all. The Plan may take longer to complete than anticipated, and actions taken in connection with the Plan may be more costly than we currently expect. In connection with the Plan, we expect to incur pre-tax restructuring and related charges, substantially all of which are expected to result in cash expenditures, including employee-related costs (such as severance payments, notice pay where applicable, and employee benefits and related costs) and other exit and disposal costs (including facility exit costs, contract termination costs, and professional fees). The estimates of the charges and expenditures we expect to incur, and the timing thereof, are subject to a number of assumptions, and actual amounts may differ materially from our estimates. We may also incur charges and expenditures not currently contemplated due to unanticipated events that may occur in connection with the Plan.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Plan could also adversely affect our business, results of operations, and financial condition. The process of exiting and winding down operations may be disruptive, may divert management attention, and may adversely affect employee morale, productivity and retention, including among employees in jurisdictions in which we will continue to operate. If we do not execute the Plan effectively, or if the Plan results in greater disruption or costs than expected, our business may be adversely affected and we may not achieve profitability on our anticipated timeline, or at all.</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risks related to our previously announced reduction in force , see —</w:t>
      </w:r>
      <w:r>
        <w:rPr>
          <w:rFonts w:ascii="Times New Roman;serif" w:hAnsi="Times New Roman;serif"/>
          <w:b w:val="false"/>
          <w:i/>
          <w:color w:val="000000"/>
          <w:sz w:val="20"/>
        </w:rPr>
        <w:t>Risks Relating to our Business and Industry—If we fail to effectively manage our growth, scale our operations, or implement workforce changes as needed, our business and operating results could be adversely affected.</w:t>
      </w:r>
      <w:r>
        <w:rPr>
          <w:color w:val="000000"/>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6840"/>
                <wp:effectExtent l="0" t="0" r="0" b="0"/>
                <wp:wrapNone/>
                <wp:docPr id="56"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strategy and focus on delivering high-quality, compliant, easy-to-use, and secure crypto-related financial services may not maximize short-term or medium-term financial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taken, and expect to continue to take, actions that we believe are in the best interests of our users and the long-term interests of our business, even if those actions do not necessarily maximize short-term or medium-term results. These include expending significant managerial, technical, and legal efforts on complying with laws and regulations that are applicable to our products and services and ensuring that our products are secure. We also focus on driving long-term engagement with our users through innovation and developing new industry-leading products and technologies. These decisions may not be consistent with the short-term and medium-term expectations of our stockholders and may not produce the long-term benefits that we expect, which could have an adverse effect on our business,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fail to retain existing users or add new users, or if our users decrease their level of engagement with our products, services, and platform, our business, operating results, and financial condition may be materially and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success depends on our ability to retain existing users and attract new users to increase engagement with our products, services, and platform. To do so, we must continue to offer leading technologies and ensure that our products and services are secure, reliable, and engaging. We must also expand our products and services, and offer competitive prices in an increasingly crowded, price-sensitive, and competitive market. There is no assurance that we will be able to competitively innovate or offer better prices, that we will be able to retain our current users or attract new users, or keep our users engaged. Any number of factors can negatively affect user retention, growth, and engagement,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user demand shifting to other products and services, including those that we are unable to offer due to regulatory reasons;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introduce new and improved products and services that are favorably received;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support new and in-demand asset classes or if we elect to support certain asset classes with negative reputations;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user sentiment about the quality or usefulness of our products and services, including from concerns related to privacy, security, regulatory compliance, or other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changes in our products and services that are mandated by legislation, regulatory authorities, or litigation in the United States or other jurisdictions in which we operate;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restrictions on our ability to access markets in certain jurisdictions due to legislation, regulatory requirements, or interventions by regulatory authorities;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negative user perception regarding the digital assets on our platform;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technical or other problems preventing us from delivering our products and services with the speed, functionality, security, and reliability that our users expect;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incidents, employee or service provider misconduct, or other unforeseen activities causing losses to us or our users, including losses to assets held by us on behalf of our users;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modifications to our pricing model or modifications by competitors to their pricing models;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6840"/>
                <wp:effectExtent l="0" t="0" r="0" b="0"/>
                <wp:wrapNone/>
                <wp:docPr id="57"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provide adequate user service;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media reports or other negative publicity relating to our business, competitors, or the industry as a whole.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certain of these factors have negatively affected, and may continue to negatively affect in the future, user retention, growth, and engagement to varying degrees. Any decrease in user retention, growth, or engagement could render our products and services less attractive to users and may have a material adverse effect on our business, operating results, and financial conditions.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retain existing users and attract new users, we must continue to enhance our technical infrastructure and other technology offerings to remain competitive and maintain a platform that has the required functionality, performance, capacity, security, and speed to attract and retain users. As a result, we have historically, and expect to continue to, incur significant costs and expenses to develop and upgrade our technical infrastructure to meet the evolving needs of the industry. Our success will depend on our ability to develop and incorporate new offerings and adapt to technological changes and evolving industry practices, and to do so in a timely and cost-effective manner. If we fail to innovate and deliver products and services, or fail to do so quickly compared to our competitors, our business and our ability to successfully compete, to retain existing users, and to attract new users may be materially and adversely affected.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Disputes with our users could adversely impact our brand and reputation and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have been subject to claims and disputes with our users with respect to our products and services, such as claims and disputes arising from allegedly fraudulent or unauthorized transactions and account takeovers. In the future, we are likely to face similar claims, and also possibly claims relating to the execution and settlement of digital asset trades, problems with deposits and withdrawals of digital assets, failures or malfunctions of our systems and services, or other issues relating to our products and services. The ingenuity of criminal fraudsters, combined with many users’ failure to adopt best practices including use of hardware security keys (e.g., Yubikeys), will likely cause our users to continue to be subject to account takeovers and other identity fraud issues. While we have taken measures to detect and reduce the risk of fraud, there is no guarantee that they will be successful and, in any case, to be effective, they require continuous improvement and optimization for continually evolving forms of fraud. There can be no guarantee that we will be successful in detecting and resolving these disputes or defending ourselves in any of these matters, and any failure may result in impaired relationships with our users, damage to our brand and reputation, and substantial fines and damages. In some cases, the measures we have implemented to detect and deter fraud have led to poor user experiences, including indefinite account inaccessibility for some of our users, which increases our user support costs and can compound damages. We could incur significant costs in compensating our users, such as if a transaction was unauthorized, erroneous, or fraudulent. We could also incur significant legal expenses resolving and defending claims, even those without merit. To the extent we are found to have failed to fulfill our regulatory obligations, we could also lose our authorizations or licenses or become subject to conditions that could make future operations more costly, impair our ability to grow, and adversely impact our operating results. We could be subject to investigation and enforcement action by a multitude of state, federal, and international consumer protection agencies.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is uncertainty as to whether, and if so to what extent, the Electronic Fund Transfers Act (“EFTA”), applies to digital asset exchanges and custodians, such as us, and to transactions on such platforms. A case filed in the Superior Court for the District of Columbia sought a declaration from that court that EFTA applies to our business, as well as injunctive relief. Gemini is appealing a jurisdictional ruling in that case. The application or extension of EFTA to us and to transactions on platforms such as ours would significantly increase our litigation expenses, as well as user fraud losses borne by us as a result of litigation, and would significantly adversely affect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6840"/>
                <wp:effectExtent l="0" t="0" r="0" b="0"/>
                <wp:wrapNone/>
                <wp:docPr id="58"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Some of our user agreements contain arbitration clauses with class action waivers. While these may limit our exposure to consumer class action litigation, and have been generally enforced in the U.S., there is a risk that some U.S. federal, state, or non-U.S. courts may decline to enforce our arbitration clauses or class action waivers, or that the law applicable to these provisions changes in an adverse manner. Legislative, administrative, or regulatory developments may directly or indirectly prohibit or limit the use of arbitration clauses or class action waiver provisions. Any prohibitions, limitations on, or discontinuation of the use of such arbitration or class action waiver provisions could subject us to additional lawsuits. There can be no assurance that we will be successful in enforcing these arbitration provisions, including the class action waiver provisions, in the future or in any given case. There have been instances in which litigants have responded to arbitration clauses paired with class action waivers by filing numerous arbitrations against one company. In some instances, this has caused the companies targeted by mass arbitrations to incur significant amounts in arbitration filing fees, in addition to other arbitration costs. If we were subject to mass arbitration as such, it would adversely affect our business, operating results, and financial condition. While we have taken steps to mitigate the risk of mass arbitrations, there is no guarantee that these steps have been or will be effective.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settled 49 related arbitrations brought by approximately 141 clients of one institutional user of our platform, IRA Financial Trust Company (“IRAF”). As of March 1, 2026, we are facing 373 arbitrations filed by Earn users seeking additional interest separate from their recovery in the Genesis Global Capital, LLC (“Genesis”) bankruptcy. Consistent with the rules of the arbitration provider, National Arbitration and Mediation (“NAM”), Gemini Trust has agreed to participate in 15 “bellwether” arbitrations and all other matters have been stayed pending the outcome of these arbitrations. Gemini Trust has prevailed in the first five of these bellwether arbitrations. It is possible that the number of arbitrations we face will increase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fail to develop, maintain, and enhance our brand and reputation, our business, operating results, and financial condition may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brand and reputation are key assets and a competitive advantage. Maintaining, protecting, and enhancing our brand depends largely on the success of our marketing efforts, ability to provide consistent, high-quality, and secure products, services, features, and support, and our ability to successfully secure, maintain, and defend our rights to use the “Gemini” mark and other trademarks important to our brand. We believe that the importance of our brand will increase as competition further intensifies. Our brand and reputation could be harmed if we fail to achieve these objectives or if our public image were to be tarnished by negative publicity, unexpected events, or actions by third parties. Unfavorable publicity about us, including our products, services, technology, data privacy and cybersecurity practices, user service, personnel, and digital asset or digital asset platforms generally could diminish confidence in, and the use of, our products and services. Moreover, to the extent that we acquire a company and maintain that acquired company’s separate brand, we could experience brand dilution or fail to retain positive impressions of our own brand to the extent such impressions are instead attributed to the acquired company’s brand. In addition, because we are a founder-led company, actions by, or unfavorable publicity about, Tyler and Cameron Winklevoss may adversely impact our brand and reputation. Their high visibility and role as vocal proponents of digital assets may also attract additional scrutiny from the public or regulatory bodies, irrespective of whether we or our co-founders have engaged in any unlawful conduct. Any deterioration in our reputation, negative publicity, or unauthorized use of our brand or marks, including as a result of social media reports, regardless of the accuracy of such publicity, could have a material adverse effect on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leveraging AI technologies in the development of certain of our products and processes. These technologies may present business, compliance, and reputational risks.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use machine learning and AI, both proprietary and third-party technologies, to support our products, processes, and internal operations and have plans to expand our use of AI in the future. For example,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6840"/>
                <wp:effectExtent l="0" t="0" r="0" b="0"/>
                <wp:wrapNone/>
                <wp:docPr id="59"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use AI models to assess the risk of ACH fraud and duplicate accounts, assist with identity verification, analyze customer feedback, and power customer service chatbots. These models are trained primarily on internal datasets, including user transaction history, account activity, and customer service interactions, and operate under data governance protocols that prohibit the use of sensitive or personally identifiable information in generative AI applications. We also use third-party generative AI tools under enterprise agreements for internal use cases such as resume screening and developer support.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of such technology remain ongoing and may be costly and yield inefficient results. As with many new and emerging technologies, AI presents significant potential for efficiencies but also risks and challenges that could adversely affect our business. If we fail to keep pace with rapidly evolving AI technological developments, our competitive position and business results may suffer. For example, if our competitors or other third parties incorporate AI-powered solutions into their products more quickly or more successfully than us, this could impair our ability to compete effectively. At the same time, use of AI has recently become the source of significant media attention and political debate. Although we attempt to mitigate this risk, content generated by AI systems may be offensive, illegal, or otherwise harmful. Further, such content may appear correct but is factually inaccurate, misleading or otherwise flawed, which could negatively impact our users, harm our reputation and business, and expose us to liability. AI and machine learning models require training on training datasets prior to production use, and in some instances, AI algorithms or training methodologies may be overbroad, insufficient, or contain biased information. Ineffective or inadequate AI development or deployment practices by us or others could result in incidents that impair the acceptance of AI solutions or cause harm to individuals, users, or society, or result in our products and services not working as intended. Further, if third parties allege that our AI and machine learning models violate applicable law, or that our use of training data violates applicable law or third-party rights, we may be subject to legal liability or we may be forced to retrain our models on different datasets, which could result in unexpected costs, and adversely affect the availability of our offerings or their reliability, or otherwise make them less useful for their intended purpose. Human review of certain outputs may be required. Our implementation of AI systems could result in legal liability, regulatory action, brand, reputational, or competitive harm, or other adverse impacts.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the regulatory framework for AI and similar technologies, and automated decision making, is changing rapidly and as the regulatory framework for machine learning technology, generative AI and automated decision making evolves, our business may be adversely affected. It is possible that new laws and regulations will be adopted in the United States and in non-U.S. jurisdictions, or that existing laws and regulations may be interpreted in ways that would affect our use and provision of AI-powered solutions. Because these technologies are themselves highly complex and rapidly developing, it is not possible to predict all of the legal or regulatory risks that may arise relating to our use of such technologies, and we may not be able to adequately anticipate or respond to these evolving laws and regulations. The cost to comply with such laws or regulations could be significant and would increase our operating expenses, which could adversely affect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the utilization of AI becomes more prevalent, we anticipate that it will continue to present new or unanticipated ethical, reputational, technical, operational, legal, competitive, and regulatory issues, among others. We expect that such utilization of AI will require additional resources, including the incurrence of additional costs, to develop and maintain our platform offerings, services and features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 As a result, the challenges presented with our use of AI could adversely affect our business,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use of AI-powered solutions has resulted in, and may in the future result in, data breaches and cybersecurity incidents that implicate the personal data of users of AI-powered solutions.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6840"/>
                <wp:effectExtent l="0" t="0" r="0" b="0"/>
                <wp:wrapNone/>
                <wp:docPr id="60"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experience data breaches or other cybersecurity incidents in connection with our use of AI-powered solutions, it could adversely affect our reputation and expose us to legal liability or regulatory risk, including with respect to third-party intellectual property, privacy, publicity, contractual, or other rights. Additionally, if any of our employees, contractors, vendors, or service providers use any third-party AI-powered solutions in connection with our business or the services they provide to us, it may lead to the inadvertent disclosure of our confidential information, including inadvertent disclosure of our confidential information into publicly available third-party training sets, which may impact our ability to realize the benefit of, or adequately maintain, protect, and enforce, our intellectual property or confidential information, harming our competitive position and business. In addition, third-party AI technologies that we utilize in our business may include open source software. These AI technologies may incorporate data from third-party sources, including our users’ information they input into the AI tools, which may expose us to risks associated with data rights and protection. Our ability to mitigate risks associated with disclosure of our confidential information, including in connection with AI-powered software, will depend on our implementation, maintenance, monitoring, and enforcement of appropriate technical and administrative safeguards, policies and procedures governing the use of AI-powered solutions in our business. Further, if we are unable to maintain rights to use these AI technologies on commercially reasonable terms, we may be forced to acquire or develop alternate AI technologies, which may limit or delay our ability to provide competitive offerings and may increase our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have in the past, and may in the future, enter into partnerships, collaborations, joint ventures, or strategic alliances with third parties. If we are unsuccessful in establishing or maintaining strategic relationships with these third parties or if these third parties fail to deliver certain operational services, our business, operating results, and financial condition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in the past, and may in the future, enter into partnerships, collaborations, joint ventures, or strategic alliances with third parties in connection with the development, operation, and enhancements to our platform and products and the provision of our services. Identifying strategic relationships with third parties, and negotiating and documenting relationships with them, may be time-consuming and complex, and may distract management. Moreover, we may be delayed, or not be successful, in achieving the objectives that we anticipate as a result of such strategic relationships. In evaluating counterparties in connection with partnerships, collaborations, joint ventures, or strategic alliances, we consider a wide range of economic, legal, and regulatory criteria depending on the nature of such relationship, including the counterparties’ reputation, operating results, and financial condition, operational ability to satisfy our and our users’ needs in a timely manner, efficiency and reliability of systems, certification costs to us or to our users, and licensure and compliance status. Despite this evaluation, third parties may still not meet our or our users’ needs, which may adversely affect our ability to deliver products and services to users, and which may adversely impact our business, operating results, and financial condition. Counterparties to any strategic relationship may have economic or business interests or goals that are, or that may become, inconsistent with our business interests or goals, and may subject us to additional risks to the extent such third-party becomes the subject of negative publicity, faces its own litigation or regulatory challenges, or faces other adverse circumstances. Conflicts may arise with our strategic partners, such as the interpretation of significant terms under any agreement, which may result in litigation or arbitration which would increase our expenses and divert the attention of our management. If we are unsuccessful in establishing or maintaining strategic relationships with third parties, our ability to compete in the marketplace or to grow our revenue could be impaired and our business, operating results, and financial condition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Banking relationships in the digital asset space have historically been difficult to obtain and maintain. Loss of a critical banking or insurance relationship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bank relationships to provide banking rails for our platform. In particular, users’ cash holdings on our platform are held with one or more of our multiple banking partners in omnibus accounts. Given the industry in which we operate, our banking partners may view us as a higher risk customer for purposes of their AML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61"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programs, notwithstanding the fact that the subsidiaries through which we operate hold all required licenses for their current activities. GTC and Gemini Moonbase, LLC (“Gemini Moonbase”) are registered money services businesses with FinCEN under the BSA. In addition, we hold MTLs or the statutory equivalent in all U.S. states requiring such licenses for our operations. Further, GTC is a limited purpose trust company chartered by the NYDFS. Likewise, our foreign subsidiaries hold all required licenses, including from the Monetary Authority of Singapore.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face difficulty establishing or maintaining banking relationships due to instability in the global banking system, regulatory uncertainty and scrutiny, or our banking partners’ policies. The loss of banking partners or the imposition of operational restrictions by banking partners and the inability for us to utilize other redundant financial institutions may result in a disruption of business activity as well as regulatory risks. In addition, as a result of the myriad of regulations, the risks of digital assets generally, the adverse reputational impact of widely-publicized negative events (such as FTX’s collapse) on our industry, implicit or explicit pressure from banking regulators and supervisors, or in the event of an adverse outcome of any litigation, financial institutions in the United States and globally may decide to not provide, or be prohibited from providing, account, custody, or other financial services to us or the digital asset industry generally.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financial institutions we rely on face bank resolution or failure, limit or stop their digital asset activities, or if banking access for digital asset participants is restricted in a certain country, it could lead to temporary delays or unavailability of critical services in that country. This may affect our operations, reduce the availability of vendors or quality of services available to us or our users, and cause a general disruption in the digital asset industry, potentially reducing activity on our platform, which may adversely impact our business, operating results, and financial condition. For example, our business and operations were affected by the closures of Silvergate Capital Corp. and Signature Bank and the cessation of their real-time fiat currency payment networks in March 2023.</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rely on insurance carriers to insure user losses resulting from a breach of our physical security, cybersecurity, or by employee or third-party theft. Our ability to maintain such insurance is subject to the insurance carriers’ ongoing underwriting criteria and our inability to obtain and maintain appropriate insurance coverage could cause a substantial business disruption, adverse reputational impact, inability to compete with our competitors, and regulatory scrutiny.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currently rely on third-party service providers for certain aspects of our operations, and any interruptions in services provided by these third parties may impair our ability to support our users.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third parties for various aspects of our business, including payment processors, and banks; cloud services and data centers for infrastructure, smart contract development, and website functionality; and external providers for user support, compliance, and product development. Many or all of these third-party service providers are critical to our operations. Because we rely on third parties to provide these services and to facilitate certain of our business activities, we face increased operational risks. We do not directly manage the operation of any of these third parties. These third parties may be subject to financial, legal, regulatory, and labor issues, cybersecurity incidents, data theft or loss, break-ins, computer viruses or vulnerabilities in their code, denial-of-service attacks, sabotage, acts of vandalism, loss, disruption, or instability of third-party banking relationships, privacy breaches, service terminations, disruptions, interruptions, and other misconduct. They are also vulnerable to damage or interruption from human error, power loss, telecommunications failures, fires, floods, earthquakes, hurricanes, tornadoes, pandemics, and similar events. In addition, these third parties may breach their agreements with us, disagree with our interpretation of contract terms or applicable laws and regulations, refuse to continue or renew these agreements on commercially reasonable terms or at all, fail or refuse to process transactions or provide other services adequately, take actions that degrade the functionality of our products and services, impose additional costs or requirements on us or our users, or give preferential treatment to competitors. There can be no assurance that third parties that provide services to us or to our users on our behalf will continue to do so on acceptable terms, or at all. If any third parties do not adequately or appropriately provide their services or perform their responsibilities to us or our users on our behalf, such as if third-party service providers close their data center facilities without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62"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adequate notice, are unable to restore operations and data, fail to perform as expected, or experience other unanticipated problems, we may be unable to procure alternatives in a timely and efficient manner and on acceptable terms, or at all, and we may be subject to business disruptions, losses, or costs to remediate any of the deficiencies, user dissatisfaction, reputational damage, legal or regulatory proceedings, or other adverse consequences which could harm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suffer losses as a result of our staking activity and related user services.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supported digital assets enable holders to earn rewards through staking digital assets and participating in governance. We currently allow our users in some jurisdictions to stake certain digital assets that we hold on their behalf, and we anticipate our staking options to expand in the future. If we or any third-party service providers or smart contracts fail to perform as expected, or if we suffer cybersecurity attacks, experience security issues, or encounter other problems, our users’ assets may be irretrievably lost or withdrawals of staked assets could be delayed. Technical issues on our platform have interfered with the ability of our users to withdraw staked assets in the past. In addition, certain blockchain networks may impose penalties, or “slashing,” if the staking or other related activities are not performed appropriately. Relevant issues and activities include malicious activity on the network, double signing any transaction or extended downtimes on our platform, among others. If we or any of our third-party service providers are slashed by the underlying blockchain network, our users’ assets may be confiscated by the network, resulting in losses for which we could be deemed responsible. Any penalties or slashing events could damage our brand and reputation, cause us to suffer financial losses, discourage existing and future users from utilizing our products and services and may otherwise adversely impact our business. Relatedly, as staking features or protocols or additional supported assets are made available by our digital asset exchange, the various system components and supporting function systems may not integrate properly and the new product features may not be sufficient to meet the needs of our users. Moreover, as staking protocols evolve, the various system components may not keep pace with protocol expectations or specification. Such potential technical limitations may limit our ability to effectively respond to industry and regulatory changes, market demands or user needs.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provide loans to our users, which would expose us to credit risks and may cause us to incur financial or reputational harm.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provide commercial loans to qualified users secured by their crypto or fiat asset holdings on our platform, which would expose us to the risk of our borrowers’ inability to repay such loans. In addition, such activity would result in us being subject to certain lending laws and regulations in the applicable jurisdiction and as a result we would be subject to additional regulatory scrutiny. Furthermore, we are exposed to the risk of our users’ inability to repay their Gemini Credit Card balances pursuant to WebBank’s extension of credit. In the future we may enter into credit arrangements with financial institutions to obtain more capital. Any termination or interruption in the financial institutions’ ability to lend to us could interrupt our ability to provide capital to qualified users to the extent we rely on such credit lines to continue to offer or to grow such products. Further, our credit approval process, pricing, loss forecasting, and scoring models may contain errors or may not adequately assess creditworthiness of our borrowers, or may be otherwise ineffective, resulting in incorrect approvals or denials of loans. It is also possible that loan applicants could provide false or incorrect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Borrower loan loss rates may be significantly affected by economic downturns or general economic conditions beyond our control and beyond the control of individual borrowers. In particular, loss rates on loans may increase due to factors such as prevailing market conditions in the digital asset industry, the price of bitcoin and other crypto assets, which have experienced significant fluctuations, the amount of liquidity in the markets, and other factors. Borrowers may seek protection under federal bankruptcy law or similar laws. If a borrower of a loan files for bankruptcy (or becomes the subject of an involuntary petition), a stay may go into effect that will automatically put any pending collection actions on the loan on hold and prevent further collection action absent bankruptcy court approval. The efficacy of our security interest in user collateral is not guaranteed under applicable state law or the Uniform Commercial Code and therefore we may be exposed to loss in the event of a user default,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63"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even if we appear to be secured against such default. If any of the foregoing events were to occur, our reputation and relationships with borrowers, and our financial results, could be harmed. We intend to continue to explore other products, models, and structures for offering financing, and other forms of credit and loan products. Some of those models or structures may require, or be deemed to require, additional data, procedures, partnerships, licenses, regulatory approvals, or capabilities that we have not yet obtained or developed.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rely on our agreement with WebBank to offer the Gemini Credit Card. If our relationship with WebBank were to end, the ability to continue to offer the Gemini Credit Card would be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offer the Gemini Credit Card to eligible consumers through an agreement with WebBank, our bank partner. If our relationship with WebBank were to end or if WebBank were to cease operations, our ability to continue to offer the credit card product would be affected, which could adversely affect our financial and business results. In such an event, we would need to either partner with a different bank or rely on individual state lending licenses (to the extent necessary) to continue to offer the credit card product. If we partner with a new bank, issuance and servicing of the credit card product could be disrupted and delayed as we transition to a different bank partner. We also may face increased costs and compliance burdens if the agreement with WebBank is terminated.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the Gemini Credit Card is subject to various laws, regulations, and industry standards, all of which are subject to change and some of which are subject to uncertain interpretation. If we fail to accurately predict how such laws, regulations, and standards apply to our business, or if any deficiencies or violations of any such laws, regulations, or industry standards are identified by us, or asserted by any regulatory authority, we could be subject to regulatory enforcement causing WebBank to terminate our relationship or subjecting us to an indemnity claim by WebBank, either of which could have a material adverse impact on our credit card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Gemini Credit Card is subject to increasingly sophisticated frauds that can be difficult to detect, including income and identity misrepresentation and credit bust-out schemes. Such fraud schemes could have a material adverse impact on our credit card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Gemini Credit Card business relies on the integrity of borrower information, including income, employment status, and identity, to assess creditworthiness and manage risk across the credit card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Misrepresentations of borrower income, employment, or identity, whether intentional or otherwise, could lead to extensions of credit to individuals or entities who lack the ability or intent to repay their debts. Additionally, fraudulent schemes—particularly, credit bust-out schemes where cardholders deliberately establish and build out credit histories with the intent of defaulting on large sums, which have been perpetrated against the Gemini Credit Card program in the past—pose a significant risk to the credit card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underwriting and fraud detection systems are designed to identify inaccuracies and fraudulent activity, but these systems have inherent limitations and may not fully prevent losses from sophisticated schemes or material misrepresentations. If a significant number of accounts are impacted by misrepresentations of borrower information or become involved in fraudulent schemes or activities, credit losses could increase substantially. This could materially impact our reputation, business, operating results, and financial condition, potentially leading to decreased investor confidence.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any failure to effectively identify and prevent misrepresentation and fraudulent activity may require us to invest additional resources into detection systems and fraud monitoring, further impacting our profitability. If we are unable to sufficiently manage or mitigate these risks, we may face increased regulatory scrutiny, potential legal action, and reputational harm, which could have a material adverse effect on our business, operating results, and financial condition.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64"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Gemini Credit Card program has been the target of sophisticated fraud attacks in the past, resulting in financial losses. We have implemented measures that are intended to protect against credit card fraud losses, but no credit card anti-fraud measure, or combination thereof, can be perfectly effective. It is difficult to predict the extent to which the anti-fraud measures now in place, or that may be put in place in the future, will be effective in mitigating or preventing fraud. Moreover, the credit card business is highly regulated by multiple regulators. Measures to control credit fraud can lead to regulatory investigations, regulatory enforcement actions, and civil lawsuits brought by the government or private litigants. Some of the anti-fraud measures implemented in connection with the Gemini Credit Card program have triggered regulatory scrutiny and might draw regulatory scrutiny in the future, including with respect to Equal Credit Opportunity Act. Litigation or enforcement actions relating to the credit card program could harm our reputation and jeopardize our relationship with WebBank, which issues the Gemini Credit Card and extends credit to users thereof. If our relationship with WebBank were to end, we would have to find a replacement issuing bank in order to maintain the Gemini Credit Card program. If we were not successful, our business, operating results, and financial condition would suffer. See “—</w:t>
      </w:r>
      <w:r>
        <w:rPr>
          <w:rFonts w:ascii="Times New Roman;serif" w:hAnsi="Times New Roman;serif"/>
          <w:b w:val="false"/>
          <w:i/>
          <w:color w:val="000000"/>
          <w:sz w:val="20"/>
        </w:rPr>
        <w:t>Risks Relating to our Business and Industry—We rely on our agreement with WebBank to offer the Gemini Credit Card. If our relationship with WebBank were to end, the ability to continue to offer the Gemini Credit Card would be affected</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There can be no assurance that our launch of our co-branded credit cards will be successful in generating a recurring stream of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2025, we launched a co-branded credit card in conjunction with Ripple. The launch was a contributing factor in more than 30,000 new credit card sign-ups in the month of August 2025, a new monthly high that was more than twice the number of credit card sign-ups in the prior month. While these sign-ups reflected initial customer interest in the Ripple cobranded credit card, not all approved applicants activated or used their cards, and therefore sign-ups alone are not necessarily indicative of cardholder activity or future revenues. The ultimate performance of the Ripple and other cobranded credit cards will depend on factors such as the number of cards actually issued and remaining open, cardholder transaction volume, and the level of related receivables. As a result, there can be no assurance that the launch of our co-branded credit card with Ripple, or any other co-branded credit card, will be successful in generating a recurring stream of revenue for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hold certain investments in various crypto assets and may suffer losses.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hold investments in a number of crypto assets. These investments are subject to significant risks due to the inherent volatility associated with the digital asset industry. See “—</w:t>
      </w:r>
      <w:r>
        <w:rPr>
          <w:rFonts w:ascii="Times New Roman;serif" w:hAnsi="Times New Roman;serif"/>
          <w:b w:val="false"/>
          <w:i/>
          <w:color w:val="000000"/>
          <w:sz w:val="20"/>
        </w:rPr>
        <w:t>Risks Relating to our Business and Industry—Our operating results have and will significantly fluctuate, due to inherent volatility associated with the digital asset industry including, but not limited to, the price of digital assets, regulatory scrutiny of certain digital assets or related products and services, or changes in applicable laws</w:t>
      </w:r>
      <w:r>
        <w:rPr>
          <w:rFonts w:ascii="Times New Roman;serif" w:hAnsi="Times New Roman;serif"/>
          <w:b w:val="false"/>
          <w:color w:val="000000"/>
          <w:sz w:val="20"/>
        </w:rPr>
        <w:t>.” In addition, some of the crypto assets we own rely on DeFi protocols for their utility and value. These DeFi protocols are built on self-executing smart contracts designed to facilitate digital asset transactions without intermediaries. These investments typically earn interest based on borrower repayment rates and are generally accessible for withdrawal without restrictions. However, our investments in DeFi protocol tokens are subject to significant DeFi-specific risks, including, but not limited to, regulatory uncertainty, smart contract vulnerabilities, credit and collateral risks, and governance risks. If any of these risks materialize, the value and recoverability of our investments in DeFi protocol tokens could be materially and adversely affected, potentially resulting in financial losses and reputational harm.</w:t>
      </w:r>
    </w:p>
    <w:p>
      <w:pPr>
        <w:pStyle w:val="TextBody"/>
        <w:bidi w:val="0"/>
        <w:spacing w:before="0" w:after="0"/>
        <w:ind w:left="0" w:right="0" w:firstLine="720"/>
        <w:jc w:val="both"/>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There can be no assurance that Gemini Predictions will gain sufficient user adoption or market share, and there is no guarantee that it will generate meaningful revenue for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we launched Gemini Predictions, a CFTC-regulated prediction market platform offered through our affiliate, Gemini Titan, which holds a DCM license. Gemini Predictions is a new offering, and there can be no assurance that it will develop into a successful or meaningful revenue-generating line of business. Prediction markets are a nascent and highly competitive industry, and our ability to grow Gemini Predictions depends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6840"/>
                <wp:effectExtent l="0" t="0" r="0" b="0"/>
                <wp:wrapNone/>
                <wp:docPr id="65"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ability to attract and retain users and to gain market share. Gemini Predictions may not achieve sufficient market acceptance, user adoption, or market share to generate meaningful revenue for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Moreover, the launch and continued development of Gemini Predictions requires the investment of significant financial and management resources, including resources that could otherwise be used to develop, enhance, and operate other products and services. If Gemini Predictions does not achieve market acceptance or generate meaningful revenue, we may not recover our investments and may reduce our investment in, modify, or discontinue Gemini Predictions in the future.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addition, Gemini Predictions is subject to evolving legal and regulatory considerations. For more information, see “—</w:t>
      </w:r>
      <w:r>
        <w:rPr>
          <w:rFonts w:ascii="Times New Roman;serif" w:hAnsi="Times New Roman;serif"/>
          <w:b w:val="false"/>
          <w:i/>
          <w:color w:val="000000"/>
          <w:sz w:val="20"/>
        </w:rPr>
        <w:t>Risks Relating to Regulatory and Legal Matters</w:t>
      </w:r>
      <w:r>
        <w:rPr>
          <w:color w:val="000000"/>
        </w:rPr>
        <w:t>—</w:t>
      </w:r>
      <w:r>
        <w:rPr>
          <w:rFonts w:ascii="Times New Roman;serif" w:hAnsi="Times New Roman;serif"/>
          <w:b w:val="false"/>
          <w:i/>
          <w:color w:val="000000"/>
          <w:sz w:val="20"/>
        </w:rPr>
        <w:t>The applicability of certain preexisting laws and regulations to our prediction markets business is uncertain such that Gemini Predictions could become the target of a regulatory or enforcement action.</w:t>
      </w:r>
      <w:r>
        <w:rPr>
          <w:color w:val="000000"/>
        </w:rPr>
        <w: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redemption risk and regulatory risk associated with stablecoins may adversely affect our business and financial position.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issue GUSD, a U.S. dollar-backed stablecoin, as well as support other stablecoins on our platform. Stablecoins have a unique risk associated with redemptions in which the stablecoin is exchanged for the underlying asset. The underlying assets are often invested into perceived “safe” investments such as U.S. treasuries. However, there is no guarantee that the underlying assets for all stablecoins are put into instruments that are as safe as they may be perceived to be. There is a risk that the assets may not be redeemable at the 1:1 redemption ratio (i.e., 1 USD for 1 stablecoin). If we or third-party stablecoin issuers experience redemption pressures or liquidity shortfalls, it could lead to market instability and reduced user confidence in stablecoins, including GUSD, which could negatively impact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2025, the GENIUS Act, which establishes a regulatory framework for payment stablecoins, was entered into law. It is not yet known how the GENIUS Act will be interpreted by courts. Further, the sale and resale of such stablecoins may implicate a variety of banking, deposit, money transmission, prepaid access and stored value, AML, commodities, securities, sanctions, and other laws and regulations in the various jurisdictions relevant to our business. The risks associated with stablecoins may adversely affect interest in and demand for the products and services we seek to offer, and subject us to additional regulatory uncertainties, which may result in enforcement actions, litigation, significant costs being incurred, fines, and other penalties, as well as adversely affect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Due to unfamiliarity and some negative publicity associated with digital asset platforms, existing and potential users may lose confidence in digital asset platforms.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Unlike securities or other traditional asset exchanges and financial services providers, digital asset platforms are relatively new and, in some jurisdictions, unregulated. While many prominent digital asset platforms provide the public with significant information regarding their ownership structure, management teams, corporate practices, and regulatory compliance, many digital asset platforms do not provide this information, which could result in users making uninformed investment decisions. As a result, the marketplace may lose confidence in digital asset platforms, including prominent platforms that handle a significant volume of digital asset trading. Additionally, digital assets may be more vulnerable than other types of assets to market or price manipulation and other fraudulent practices, including due to the lack of regulation globally. Any actual or perceived false trading in trading platforms or any other fraudulent or manipulative acts and practices, and any associated negative publicity, could adversely affect the value of digital assets and/or negatively affect the market perception of such digital assets and, by extension, other digital asset markets and platforms, including our platform. Larger platforms like ours are more appealing targets for hackers and malware. For example, in February 2025, the digital asset trading platform Bybit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6840"/>
                <wp:effectExtent l="0" t="0" r="0" b="0"/>
                <wp:wrapNone/>
                <wp:docPr id="66"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reportedly lost approximately $1.5 billion in Ether through a hacker-induced transfer from its cold wallet to a wallet address said to be associated with the Lazarus Group (a hacker group believed to be run by the government of North Korea). Such attacks could cause users to lose confidence in digital asset platforms.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numerous digital asset platforms have been sued, investigated, or shut down due to fraud, manipulative practices, business failure, and security breaches. In many of these instances, users of these platforms were not compensated or made whole for their losses. For example, in November 2022, FTX, a crypto exchange, filed for bankruptcy and a year later, in November 2023, FTX’s CEO was found guilty on fraud charges. On March 27, 2023, the CFTC announced the filing of a civil enforcement action in the U.S. District Court for the Northern District of Illinois charging, among others, various entities that operate the Binance platform and Binance’s co-founder and CEO with numerous violations of the U.S. Commodities Exchange Act of 1936 (the “CEA”) and CFTC regulations. Furthermore, on June 5, 2023, the SEC filed a civil complaint in the U.S. District Court for the District of Columbia against Binance and other related entities, as well as its co-founder and CEO. The complaint consisted of thirteen charges, including misleading investors and operating as an unregistered securities exchange, broker and clearing agency in violation of U.S. securities laws. While on May 29, 2025, the SEC dismissed its civil lawsuit, on November 21, 2023, Binance and its CEO pled guilty to federal criminal charges that Binance violated and caused a financial institution to violate the BSA, with Binance entering into a $4.3 billion settlement with the U.S. Justice Department, in addition to the confiscation of certain assets and its CEO resigning and accepting an individual fine of $50 million. Binance also settled with the CFTC on November 21, 2023.</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outcome and results of these and other enforcement actions against digital asset platforms, to the extent not already resolved or dismissed, may have a significant negative impact on the adoption and use of digital assets both globally and within the United States and could negatively impact the liquidity, volatility, and value of such assets. In addition, there have been reports that a significant amount of digital asset trading volume on digital asset platforms is fabricated and false in nature. Such reports may indicate that the market for digital asset platform activities is significantly smaller than otherwise understood.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Negative perception, a lack of stability and standardized regulation in the digital asset industry, and the closure or temporary shutdown of digital asset platforms due to fraud, business failure, hackers or malware, or government mandated regulation, as well as any associated losses suffered by users, may reduce confidence in digital assets and result in greater volatility of the prices of digital assets, including significant depreciation in their value. Any of these events could have a material effect on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users may deposit and withdraw digital assets into and from our platform, and errors which occur with respect to such deposits and withdrawals could result in loss of some or all of a user’s assets, user disputes, and other liabilities, which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Digital assets are controllable only by the possessor of both the unique blockchain address and controlling private key relating to the local or online digital wallet in which such digital asset is held. In order to deposit digital assets held by a user into our crypto exchange or custody platforms, a user must “sign” a transaction that consists of the private key of the wallet from which the user is transferring digital assets, direct the deposit using the blockchain address of a wallet that we control and which we provide to the user, and broadcast the deposit transaction onto the underlying blockchain network. Similarly, to withdraw digital assets from our digital asset exchanges or custody platforms, a user must provide us with the blockchain address of the wallet that the digital assets are to be transferred to, and a party with access to the private keys of a wallet holding the digital asset to be withdrawn is required to “sign” a transaction authorizing the transfer. In addition, some blockchain networks might require additional information to be provided in connection with any transfer of digital assets into or out of our platforms and wallets. A number of errors could occur in the process of depositing or withdrawing digital assets into or from our platform, such as typos, mistakes, or the failure to include the information required by the blockchain network. For instance, a user may incorrectly enter our wallet’s blockchain address or the desired recipient’s blockchain address when depositing and withdrawing from our platforms, respectively. Alternatively, a user may transfer digital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6840"/>
                <wp:effectExtent l="0" t="0" r="0" b="0"/>
                <wp:wrapNone/>
                <wp:docPr id="67"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assets to a wallet address that the user does not own, control, or hold the private keys to. In addition, each wallet address is only compatible with the underlying blockchain network on which it is created. For instance, a bitcoin wallet address can only be used to send and receive bitcoin. If any ether or other digital assets are sent to a bitcoin wallet address, or if any of the foregoing errors occur, such digital assets could be permanently and irretrievably lost with no means of recovery. Such incidents could result in user disputes, damage to our brand and reputation, legal claims against us, and financial liabilities, any of which could adversely affect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 temporary or permanent blockchain fork to any supported digital asset could adversely affect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Most blockchain protocols, including Bitcoin and Ethereum, are open source. Any user can download the software, modify it, and then propose that Bitcoin, Ethereum, or other blockchain protocols users and miners or validators adopt the modification. When a modification is introduced and a substantial majority of users and miners or validators consent to the modification, the change is implemented and the Bitcoin, Ethereum or other blockchain protocol networks, as applicable, remain uninterrupted. However, if less than a substantial majority of users and miners or validators consent to the proposed modification, and the modification is not compatible with the software prior to its modification, the consequence would be what is known as a “fork” (i.e., split) of the impacted blockchain protocol network and respective blockchain, with one prong running the pre-modified software and the other running the modified software. The effect of such a fork would be the existence of two parallel versions of the Bitcoin, Ethereum, or other blockchain protocol network, as applicable, running simultaneously, but with each split network’s digital asset lacking interchangeability with the other.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guarantee that we will support any fork or provide the benefit of any forked digital asset to our users. However, we have in the past and may in the future continue to be subject to claims by users arguing that they are entitled to receive certain forked or airdropped digital assets by virtue of digital assets that they hold with us. If any users succeed on a claim that they are entitled to receive the benefits of a forked or airdropped digital asset that we do not or are unable to support, we may be required to pay significant damages, fines, or other fees to compensate users for their losses.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fork may also lead to a disruption of networks and our information technology systems, cybersecurity attacks, replay attacks, or security weaknesses, any of which can further lead to temporary or even permanent loss of our and our users’ assets. Such disruption and loss could cause us to be exposed to liability, even in circumstances where we have no intention of supporting an asset compromised by a fork.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currently support, and expect to continue to support, certain smart contract-based digital assets. If the underlying smart contracts for these digital assets do not operate as expected, or if the fundamental premise of smart contract acceptance or function shifts, our business,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support, and expect to continue to support, various digital assets that represent units of value on smart contracts deployed on a third-party blockchain. Smart contracts are programs that can store, automatically execute and transfer value, or conduct other operations when certain conditions are met. Since smart contracts typically cannot be stopped or reversed, vulnerabilities in their programming and design can have damaging effects. For instance, in April 2018, a batch overflow bug was found in many Ethereum-based ERC-20-compatible smart contract tokens that allowed hackers to create a large number of smart contract tokens, causing multiple digital asset platforms worldwide to shut down ERC-20-compatible token trading. Similarly, in March 2020, a design flaw in the MakerDAO smart contract caused forced liquidations of digital assets at significantly discounted prices, resulting in millions of dollars of losses to users who had deposited digital assets into the smart contract. If any such vulnerabilities or flaws come to fruition, smart contract-based digital assets, including those held by our users on our digital asset exchanges may suffer negative publicity, be exposed to security vulnerabilities, decline significantly in value, or lose liquidity over a short period of time.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6840"/>
                <wp:effectExtent l="0" t="0" r="0" b="0"/>
                <wp:wrapNone/>
                <wp:docPr id="68"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some cases, smart contracts can be controlled by one or more admin keys or users with special privileges, or “super-users.” These users have the ability to unilaterally make changes to the smart contract, enable or disable features on the smart contract, change how the smart contract receives external inputs and data, and make other changes to the smart contract. For smart contracts that hold a pool of reserves, these users may also be able to extract funds from the pool, liquidate assets held in the pool, or take other actions that decrease the value of the assets held by the smart contract in reserves. Even for digital assets that have adopted a decentralized governance mechanism, such as smart contracts that are governed by the holders of a governance token, such governance tokens can be concentrated in the hands of a small group of core community members, who would be able to make similar changes unilaterally to the smart contract. If any such super-user or group of core members unilaterally make adverse changes to a smart contract, the design, functionality, features and value of the smart contract and its related digital assets may be harmed. In addition, digital assets held by the smart contract in reserves may be stolen, misused, burnt, locked up or otherwise become unusable or irrecoverable. These super-users can also become targets of hackers and malicious attackers. If an attacker is able to access or obtain the super-user privileges of a smart contract, or if a smart contract’s super users or core community members take actions that adversely affect the smart contract, our users who hold and transact in the affected digital assets may experience decreased functionality and value of the applicable digital assets, up to and including a total loss of the value of such digital assets. Although we do not control these smart contracts, any such events could cause users to seek damages against us for their losses, result in reputational damage to us, or in other ways adversely impact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Failure to maintain adequate recordkeeping of electronic communications could expose the Company to regulatory risks, operational liabilities and reduce our ability to address legal 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Failure to maintain comprehensive records of written communications, especially those conducted through off-channel means (such as personal phones, private email accounts, or other devices), poses significant risks for us. Inadequate recordkeeping violates regulatory requirements set forth by the SEC. The inability to produce complete and accurate records during examinations can result in enforcement actions, fines, or even revocation of registration. Also, without proper documentation, we may face legal challenges. In the event of disputes, investigations, or litigation, the absence of records can weaken our legal position and hinder effective defense. Failing to capture texts, emails, instant messages, and other off-channel communications also creates operational vulnerabilities. These gaps may lead to misunderstandings, misrepresentations, or unauthorized actions that may cause harm to our brand or harm to our clients. Finally, personal devices used for off-channel communications may lack the same security protocols as firm-managed systems. This increases the risk of data breaches, leaks, or unauthorized access.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miners or validators of any supported digital asset demand high transaction fees, our operating results may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charge dynamic withdrawal fees when a user sends certain digital assets from their Gemini account to a non-Gemini account. We estimate the blockchain network fee based on the cost that we will incur to process the withdrawal transaction on the underlying blockchain network. In addition, we also pay blockchain network fees when we move digital assets for various operational purposes, such as when we transfer digital assets between our hot and cold wallets, for which we do not charge our users. However, fees can be unpredictable and, if miners or validators demand higher transaction fees for recording transactions in the underlying blockchain network, the cost of using the applicable digital asset may increase and the marketplace may be reluctant to accept such digital asset as a means of payment. Alternatively, miners or validators could collude in an anti-competitive manner to reject low transaction fees and force users to pay higher fees. While we do not expect such behavior, higher transaction confirmation fees may adversely affect our business. Although we generally attempt to pass blockchain network fees relating to user withdrawals through to our users, if we must pay higher blockchain network fees relating to user withdrawals, we could incur losses associated with the payment of blockchain network fees in excess of what we currently charge for our services, resulting in adverse impacts on our operating results.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6840"/>
                <wp:effectExtent l="0" t="0" r="0" b="0"/>
                <wp:wrapNone/>
                <wp:docPr id="69" name="Frame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Future developments regarding the tax treatment of digital assets could adversely impact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Due to the new and evolving nature of digital assets and the absence of comprehensive legal and tax guidance with respect to digital asset products and transactions, many significant aspects of the U.S. federal income tax treatment of transactions involving digital assets, such as the purchase and sale of digital assets on our platform, as well as the provision of staking rewards and other digital asset incentives and rewards products, are uncertain, and it is unclear whether, when, and what guidance may be issued in the future on the treatment of digital asset transactions for U.S. federal income tax purposes. Similar uncertainties may exist in the non-U.S. markets in which we operate or where our users are located, which could affect our non-U.S. user base.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2014, the IRS released Notice 2014-21 that sets forth the IRS’ position with respect to the treatment of certain aspects of “virtual currency” for U.S. federal income tax purposes and, in particular, stating that such virtual currency (i) is “property,” (ii) is not “currency” for purposes of the rules relating to foreign currency gain or loss, and (iii) may be held as a capital asset. From time to time, the IRS has released other notices and rulings relating to the tax treatment of virtual currency or digital assets reflecting the IRS’s position on certain issues. More recently, the U.S. Treasury Department and the IRS promulgated regulations in 2024 relating to information reporting obligations of certain broker-dealers in respect of digital asset transactions and to the computation of gain or loss upon the sale or other taxable disposition of digital assets. Nevertheless, the IRS has not addressed many other significant aspects of the U.S. federal income tax treatment of digital assets and related transactions.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continues to be some uncertainty with respect to the timing, character, and amount of income inclusions related to various digital asset transactions, including lending and borrowing digital assets, staking, and other digital asset incentives and products that we offer. Although we believe our treatment of digital asset transactions for U.S. federal income tax purposes is consistent with the applicable regulations and published positions of the IRS and/or existing U.S. federal income tax principles, because of the rapidly evolving nature of digital asset innovations and the increasing variety and complexity of digital asset transactions and products, it is possible the IRS could disagree with our treatment of certain digital asset offerings for U.S. federal income tax purposes, which could adversely affect our users and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IRS will not change its positions with respect to the U.S. federal income tax treatment of digital assets or digital asset transactions or that a court would sustain the treatment set forth in the published positions of such tax authorities. Similarly, there can be no assurance that legislation would not be enacted that could modify the tax treatment of digital asset transactions in the United States or in any of the other jurisdictions where we operate. Any such developments could result in adverse tax consequences for holders of digital assets and could adversely affect digital asset markets and the value of digital assets. In addition, technological and operational developments related to digital assets may increase the uncertainty with respect to the treatment of digital assets for applicable tax purposes, which could impact our users and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tax information reporting obligations with respect to digital asset transactions are subject to change.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believe we are compliant with U.S. tax reporting and withholding requirements with respect to our users’ digital asset transactions, the exact scope and application of such requirements is not entirely clear for all of the digital asset transactions on our platform. In November 2021, the U.S. Congress passed the Infrastructure Investment and JOBS Act, which provides that brokers would be responsible for reporting to the IRS the transactions of their users in digital assets, including transfers to other exchanges or non-exchanges. In 2024, the U.S. Treasury Department and the IRS finalized regulations and issued other administrative guidance on tax information reporting for digital assets (the “Final 6045 Regulations”) and introduced new rules that are applicable to our tax reporting and withholding obligations with respect to our user transactions. The U.S. Treasury Department and the IRS issued additional administrative guidance in 2025 that extends transitional relief provided by the 2024 administrative guidance.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16840"/>
                <wp:effectExtent l="0" t="0" r="0" b="0"/>
                <wp:wrapNone/>
                <wp:docPr id="70"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expect to achieve the necessary milestones required to comply with U.S. tax reporting and withholding requirements set forth in the Final 6045 Regulations with respect to our users’ digital asset transactions, including the collection of IRS Forms W-9 and W-8 from our users, withholding obligations (effective beginning January 1, 2026), and IRS Form 1099-DA, Digital Asset Proceeds From Broker Transactions reporting obligations , there is a risk that we may not have proper processes and procedures necessary to comply with the Final 6045 Regulations or may not build systems within the required timelines to ensure compliance for certain users or transactions. If the IRS determines that we are not in compliance with our tax reporting, we may face penalties, including liability for backup withholding tax that is not properly withheld (beginning in 2027), interest charges, and fines, which could adversely affect our financial position. The IRS has issued a safe harbor for brokers who make a “good faith effort” to file the appropriate information returns and furnish associated payment statements accurately during the transitional relief period. The Final 6045 Regulations will require us to invest substantially in new compliance processes and procedures, which could also adversely affect our financial position. Further, the IRS has announced it intends to issue additional guidance, including reporting for assets transferred between wallets or exchanges, as well as implement the Crypto-Asset Reporting Framework proposed by the Organization for Economic Cooperation and Development (“OECD”), which may create additional compliance obligations that could adversely affect our financial position or operating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Relatedly, new rules for reporting digital assets, such as the global Common Reporting Standard and the OECD’s Crypto-Asset Reporting Framework, could be implemented in a manner that affects our international operations by requiring us to invest in new onboarding and reporting infrastructure. These new rules may also impose potential liabilities or disclosure requirements for prior user arrangements and new rules that affect how we onboard our users and report their transactions to the applicable taxing authorities. Any actual or perceived failure by us to comply with the above or any other emerging tax regulations that apply to our operations could harm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nature of our business requires the application of complex financial accounting rules, and there is limited guidance from accounting standard setting bodies on certain topics. If financial accounting standards undergo significant changes, our operating results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accounting rules and regulations that we must comply with are complex and subject to interpretation by the Financial Accounting Standards Board (the “FASB”), the SEC, and various other bodies formed to promulgate and interpret appropriate accounting principles. Recent actions and public comments from the FASB and the SEC have focused on the integrity of financial reporting and internal controls and many companies’ accounting policies are being subjected to heightened scrutiny by regulators and the public. Further, there has been limited precedent for the financial accounting of digital assets and related valuation and revenue recognition. Moreover, a change in these principles or interpretations could have a significant effect on our reported financial results, and may even affect the reporting of transactions completed before the announcement or effectiveness of a change. For example, on March 31, 2022, the staff of the SEC issued SAB 121, which represented a significant change regarding how a company safeguarding digital assets held for its platform users reported such digital assets on its balance sheet. On January 23, 2025, the staff of the SEC issued SAB 122, which rescinded such interpretive guidance. Additionally, in December 2023, the FASB issued Accounting Standards Update No. 2023-08, Intangibles-Goodwill and Other-Crypto Assets (ASU 2023-08): Accounting for and Disclosure of Crypto Assets (“ASU 2023-08”), which represents a significant change in how entities that hold digital assets will account for certain of those holdings. Previously, digital assets held were accounted for as intangible assets with indefinite useful lives, which required us to measure digital assets at cost less impairment. Effective as of January 1, 2024, we adopted ASU 2023-08, which requires us to measure digital assets held at fair value at each reporting date, with fair value gains and losses recognized through net income. Fair value gains and losses can increase the volatility of our net income, especially if the underlying digital asset market is volatile.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Uncertainties in or changes to regulatory or financial accounting standards could result in the need to change our accounting methods and restate our financial statements and impair our ability to provide timely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6840"/>
                <wp:effectExtent l="0" t="0" r="0" b="0"/>
                <wp:wrapNone/>
                <wp:docPr id="71"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accurate financial information, which could adversely affect our financial statements, result in a loss of investor confidence, and more generally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domestic U.S. exchanges, GTC and Gemini Moonbase, are subject to tangible net worth requirements in some states. While GTC has historically maintained a net worth in excess of the various thresholds, there have been instances in which it has fallen short of the tangible net worth requirements. This is due to the fact that a significant amount of the bitcoin held by GTC for its own account is deducted when calculating the tangible net worth requirement as a result of tangible net worth being computed in accordance with GAAP, which, presently, categorizes digital assets as intangible assets. Although GTC is presently in compliance with net tangible worth requirements, we cannot rule out the possibility of investigations or regulatory enforcement actions with respect to these requirements.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Regulatory and Legal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digital asset industry is still novel. As a result, many policymakers are just beginning to consider what a regulatory regime for digital assets would look like and the elements that would serve as the foundation for such a regime. This less developed consideration of digital assets may harm our ability to effectively react to proposed legislation and regulation of digital assets or digital asset platforms adverse to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digital assets have grown in both popularity and market size, various U.S. federal, state, and local and foreign governmental organizations, consumer agencies and public advocacy groups have been examining the operations of blockchain networks, users and platforms, with a focus on how digital assets can be used to launder the proceeds of illegal activities, fund criminal or terrorist enterprises, and the safety and soundness of platforms and other service providers that hold digital assets for users. Many of these entities have called for heightened regulatory oversight, and have issued consumer advisories describing the risks posed by digital assets to users and investors.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Competitors, including traditional financial services, have spent years cultivating professional relationships with relevant policymakers on behalf of their industry so that those policymakers may understand that industry, the current legal landscape affecting that industry, and the specific policy proposals that could be implemented in order to responsibly develop that industry. The lobbyists working for these competitors have similarly spent years developing and working to implement strategies to advance these industries. Members of the digital asset space have engaged policymakers directly and with the help of external advisors and lobbyists. New laws and regulations may be proposed and adopted in the United States and internationally, or existing laws and regulations may be interpreted in new ways, that harm the digital asset space or digital asset platforms, which could adversely impact our business. Additionally, our political activities to further our mission may be perceived unfavorably by investors and the public and have an adverse impact on our brand and reputation.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2024 U.S. presidential election and change of administration has had a significant impact on the digital asset industry and our business in the United States, which will continue to depend in part upon the approach the administration continues to take with respect to the industry. For example, in January 2025, President Trump signed an Executive Order titled “Strengthening American Leadership in Digital Financial Technology,” which, among other things, stated that the current administration’s policy will be “to support the responsible growth and use of digital assets, blockchain technology, and related technologies across all sectors of the economy” by “providing regulatory clarity and certainty” regarding digital assets and blockchain technologies. The Executive Order also established an interagency working group that is tasked with “proposing a Federal regulatory framework governing the issuance and operation of digital assets” in the United States. Pursuant to this Executive Order, the working group released a report in July 2025 outlining the administration’s recommendations to Congress and various agencies reflecting the administration’s “pro-innovation mindset toward digital assets and blockchain technologies.” In particular, the report recommended that Congress enact legislation regarding self custody of digital assets, clarifying the applicability of Bank Secrecy Act obligations with respect to digital asset service providers, granting the CFTC authority to regulate spot markets in non-security digital assets, prohibiting the adoption of a central bank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6840"/>
                <wp:effectExtent l="0" t="0" r="0" b="0"/>
                <wp:wrapNone/>
                <wp:docPr id="72"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digital currency, and clarifying tax laws as relevant to digital assets. In addition, the report recommended that agencies reevaluate existing guidance on digital asset activities, use existing authorities to enable the trading of digital assets at the federal level, embrace DeFi, launch or relaunch crypto innovation efforts, and promote U.S. private sector leadership in the responsible development of cross-border payments and financial markets technologies, among others. In addition, more recently, the GENIUS Act, providing a regulatory framework for stablecoins, was signed into law and market structure legislation—the CLARITY Act—was passed by the U.S. House of Representatives.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although it appears that the current Chair of the SEC is taking a different approach to digital assets than was undertaken by the previous Chair, including with respect to rulemaking, formal and informal guidance, and enforcement decisions, there can be no assurance that the current Chair or the current administration will ultimately continue to enact rules or regulations that take a more favorable or significantly different approach toward the digital asset industry than the previous administration. For example, in January 2025, the SEC announced the launch of a new crypto task force “dedicated to developing a comprehensive and clear regulatory framework for crypto assets,” which “will collaborate with Commission staff and the public to set the SEC on a sensible regulatory path” regarding digital assets, including to “draw clear regulatory lines, provide realistic paths to registration, craft sensible disclosure frameworks, and deploy enforcement resources more judiciously.” More recently, in July 2025, Chairman Atkins announced “Project Crypto,” a Commission-wide initiative to modernize securities rules for digital assets, reshore innovation in the United States, and implement the recommendations of the report by the interagency working group tasked with “proposing a Federal regulatory framework governing the issuance and operation of digital assets.”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It may be illegal now, or in the future, to acquire, own, hold, sell, or use bitcoin or other digital assets, participate in blockchains or utilize similar digital assets in one or more countries, which would adversely affect our business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digital assets have grown in both popularity and market size, governments around the world have reacted differently to digital assets; certain governments have deemed them illegal, and others have allowed their use and trade without restriction, while in some jurisdictions, such as in the United States, subject to evolving regulatory requirements. As digital assets have grown in popularity and in market size, U.S. Congress, U.S. financial regulators, and certain U.S. agencies have increasingly begun to examine digital assets in more detail.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countries, including China, which have taken harsh regulatory action in the past, may take regulatory actions in the future that could severely restrict the right to acquire, own, hold, sell, or use these digital assets or to exchange them for fiat currency. In many countries, such as China, it is illegal to accept payment in cryptocurrencies for consumer transactions and banking institutions are barred from accepting deposits of digital assets. Such restrictions may adversely affect us as the large-scale use of digital assets as a means of exchange is presently confined to certain regions globally.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 particular digital asset, digital asset transaction, or product or service offering’s status as a security or sold as part of a securities transaction in any relevant jurisdiction is subject to a high degree of uncertainty. If we incorrectly conclude that a digital asset, digital asset transaction, or product or service offering is not offered and sold as a security or securities transaction, we may be subject to regulatory scrutiny, inquiries, investigations, fines, and other penalties, which may adversely affect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Several jurisdictions have taken a broad-based approach to classifying digital assets transactions, products, and services as securities or subject to their securities laws, while other jurisdictions have adopted a narrower approach. As a result, certain digital asset transactions, products or services may be deemed to be a security or securities transaction under the laws of some jurisdictions but not others. Determining whether any given digital asset is offered and sold in a securities transaction is a highly complex, fact-driven analysis, the outcome of which is difficult to predict and may evolve over time based on changes in a particular crypto asset and the way in which it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6840"/>
                <wp:effectExtent l="0" t="0" r="0" b="0"/>
                <wp:wrapNone/>
                <wp:docPr id="73"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offered and sold. Different parties may reach different conclusions about the outcome of this analysis based on the same facts. For example, the SEC and its staff have previously taken the position that transactions involving many digital assets fall within the definition of a security under the U.S. federal securities laws. However, SEC officials have also indicated or implied through various mediums that it does not consider transactions in bitcoin or ether to be offered and sold in securities transactions. More recently, the SEC’s Division of Corporation Finance has published statements that it does not consider, under certain circumstances, “meme coins” or some stablecoins to be securities. However, such statements may be withdrawn at any time without notice and comment by the Division of Corporation Finance at the SEC or the SEC itself. In addition, the current Chair of the SEC has stated he believes most digital assets are not securities; however, this is not an official statement by the SEC, may not represent the agency’s views, and does not bind it. As a result, there is little certainty under applicable legal tests whether certain digital assets are or are not offered and sold in securities transactions, and any such determination has wide-ranging implications for the regulatory obligations that flow from the offer, sale, trading, and clearing of such assets, including licensing, registration, and qualification requirements. On March 17, 2026, the SEC issued an interpretation providing a token taxonomy under which certain categories of digital assets are not securities and addressing how a “non-security crypto asset” may become subject to, and cease to be subject to, an investment contract.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policies and procedures to analyze whether transactions in each digital asset on our platform, as well as our products and services, could be deemed to be a security under applicable laws. Although we perform ongoing monitoring of digital assets supported on our platform and we maintain a listing and delisting policy, our policies and procedures do not constitute a legal standard, but rather represent our company-developed assessment regarding the likelihood that a particular digital asset transaction, product, or service should be deemed a security or securities transaction under applicable laws. In the event that we determine that a supported digital asset has been ultimately determined to be a security or that the continued offering or sale of a digital asset presents a significant risk to us or our users, we aim to take prompt action to discontinue the trading of the digital asset. Regardless of our conclusions or actions, we could be subject to legal or regulatory action in the event the SEC, state regulators, a foreign regulatory authority, or a court were to determine that a digital asset transaction, product, or service currently or previously offered, sold, or traded on our platform is a securities transaction under applicable laws. In addition, such policies and procedures may not be sufficient to mitigate and address all risks. Excluding Gemini Galactic, which is not operational, our platform is not registered or licensed with regulators as a broker-dealer, national securities exchange, or alternative trading system (“ATS”) (or foreign equivalents), and we do not seek to register or rely on an exemption from such registration or license to allow the offer and sale of securities on our platform. We only permit trading on our platform of those digital assets for which we determine there are reasonably strong arguments to conclude that the digital asset is not a security. We believe that our process reflects a comprehensive and thoughtful analysis and is reasonably designed to facilitate consistent application of available legal guidance to digital assets to facilitate informed risk-based business judgment. However, we recognize that the application of securities laws to the specific facts and circumstances of digital assets may be complex and subject to change, and that a determination to offer a digital asset does not guarantee any conclusion under applicable securities laws.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determination by a regulatory authority or court that transactions in a digital asset that we currently support on our platform constitute securities transactions may also result in us determining that it is advisable to remove such digital asset from our platform, as well as digital assets that have similar characteristics to such digital asset that was determined to be a security. In addition, we could be subject to judicial or administrative sanctions or other regulatory enforcement action for acting as a broker, dealer, or national securities exchange without appropriate registration. Any resolution of an SEC investigation of us or any similar regulatory enforcement action could result in injunctions, cease and desist orders, undertakings requiring the retention of compliance consultants or monitors, as well as civil monetary penalties, fines, and disgorgement, criminal liability, and reputational harm. Our employees, officers, and directors who are parties to any regulatory enforcement action can also be subject to officer and director bars, and associational bars and suspensions, all of which would limit or prohibit them from providing services to us. Users that traded a supported digital asset on our platform and suffered trading losses could also seek to rescind a trade on our platform as the basis that it was conducted in violation of applicable law, which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6840"/>
                <wp:effectExtent l="0" t="0" r="0" b="0"/>
                <wp:wrapNone/>
                <wp:docPr id="74"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us to significant liability. We may also be required to cease facilitating transactions in the supported digital asset other than via our licensed subsidiaries, which could negatively impact our business, operating results, and financial condition. Furthermore, if we remove any digital assets from trading on our platform, our decision may be unpopular with users and may reduce our ability to attract and retain users, especially if such digital assets remain traded on unregulated exchanges, which includes many of our competitors. Finally, in connection with any regulatory enforcement action, the SEC also has statutory authority to censure, place limitations on the activities, functions or operations of, or suspend or revoke the registration of, our broker-dealer affiliate. Any remedies and/or the imposition of injunctions, cease and desist orders, or undertakings requiring the retention of compliance consultants or monitors, could require us to limit or cease trading activities in digital assets and other financial instruments in the United States, or cease U.S. operations entirely.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There is significant uncertainty regarding the status of staking activities under the U.S. federal securities laws, state law, and non-U.S. law.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is significant regulatory uncertainty regarding the status of staking activities under the U.S. federal securities laws, state law, and non-U.S. law. In particular, staking activities, including our staking program, could be deemed to involve the offer and sale of securities and other regulated financial instruments to our users participating in the staking program. Various regulators have taken the position that certain staking programs are unlawful if not conducted as a compliant securities offering and other regulators may adopt similar positions with respect to their jurisdictions’ securities laws. In addition, we could determine in the future to terminate our staking program with respect to particular digital assets or in a particular jurisdiction if there is a heightened risk of being deemed to be a securities transaction. While we have implemented policies and procedures designed to help ensure that our staking feature remains compliant with existing and new laws and regulations, and while the staff of the SEC’s Division of Corporation Finance has previously stated that certain staking activities do not involve the offer and sale of securities, the statement is not binding on the SEC, potential private plaintiffs, or state regulators, and there can be no assurance that applicable regulatory authorities will agree with our assessment of applicable securities laws, or that we and our employees, contractors, and agents will not violate or otherwise fail to comply with such existing laws and regulations. To the extent that we or our employees, contractors, or agents are deemed or alleged to have violated or failed to comply with any laws or regulations applicable to staking, including related interpretations, orders, determinations, directives, or guidance, we or such persons could be subject to a litany of civil, criminal, and administrative fines, penalties, orders, and actions, including being required to modify, suspend, or terminate the offering of our staking programs. Any of the foregoing would materially adversely affect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tokenization of securities could introduce substantial risks and uncertainties.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our wind down of operation in the region as part of the Plan we made tokenized securities (“Gemini Tokenized Stocks”) available to Gemini users in the E.U. in June 2025. Gemini Tokenized Stocks are tokenized tracker certificates that reflect the price of an underlying stock and allow the investor to gain exposure to the underlying asset via an onchain financial instrument. These products are designed to provide economic exposure to the price performance of certain stocks, without conveying legal ownership or shareholder rights, such as voting rights, related to such underlying stocks. Gemini Tokenized Stocks were issued by Dinari, Inc. and were offered to eligible E.U. users by our wholly-owned subsidiary, Gemini Intergalactic EU Artemis, Ltd. (“Gemini E.U.”), which holds a MiFID license issued by the Malta Financial Services Authority. In February 2026, we announced a wind-down of our operations in the E.U. and we accordingly no longer offer this product.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for tokenized securities is nascent, and there can be no assurance that a liquid or orderly market for tokenized securities will develop or be sustained. Blockchain-based mechanisms, including decentralized exchanges, may have significantly less liquidity, volume, transparency, or regulatory oversight compared to national securities exchanges, such as Nasdaq. This could fragment liquidity across platforms, impair price discovery, widen bid-ask spreads, and lead to prolonged price discrepancies between tokenized and traditional forms of the same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6840"/>
                <wp:effectExtent l="0" t="0" r="0" b="0"/>
                <wp:wrapNone/>
                <wp:docPr id="75"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security—especially where arbitrage is limited by operational or regulatory constraints. To the extent we seek to tokenize our Class A common stock as a tokenized security in the future, this could introduce novel risks and operational complexities that could adversely impact the trading dynamics, price discovery, and liquidity of both the tokenized security and our actual Class A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market intermediaries may face unclear or evolving obligations when interacting with tokenized securities, and the application of U.S. federal securities laws and other regulations to the trading of tokenized securities remains uncertain. For example, in July 2025, the SEC Commissioner issued a statement noting that “tokenized securities are still securities,” and therefore transactions involving tokenized securities are subject to federal securities laws. More recently, in March 2026, the SEC Chairman made a statement that “only one crypto asset class remains subject to the securities laws: digital securities, namely traditional securities that are tokenized.” If offered and sold within the United States, which they currently are not, Gemini Tokenized Stocks might also be deemed to be security-based swaps. Advisory committees and staff of the CFTC have also discussed exploring a potential regulatory framework for tokenization of assets, including tokenized collateral.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Regulatory approaches outside of the U.S. are similarly in the early stages and vary by jurisdiction. This may prevent or discourage market intermediaries from holding, transacting, or facilitating transactions in tokenized securities, further limiting liquidity. Reduced liquidity in tokenized securities, whether due to general investor unfamiliarity, uncertain demand, operational friction, inefficient linkages between tokenized and traditional markets, or otherwise, could result in lower trading prices for such products. In addition, if regulatory authorities determine that the platforms, mechanisms, or participants involved in the secondary trading of tokenized securities do not comply with applicable law, we or such intermediaries could face enforcement actions or fines, or be required to unwind or restructure aspects of the project. These risks could lead to diminished investor confidence, reduced participation in the trading of tokenized securities, and corresponding negative effects on trading price, volatility and/or liquidity.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while our advertisements for and other publicity about Gemini Tokenized Stocks generally clearly stated that these products were only available to Gemini users in the E.U., it is possible that the SEC or a private plaintiff could seek to establish that such publicity involved offers of Gemini Tokenized Stocks to U.S. residents inconsistent with the registration provisions of the securities laws. Although we believe we would have substantial defenses to any such allegations, they could, if proven, subject us to liability under U.S. law.</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Tokenized securities are also subject to the broader risks associated with digital assets, including cybersecurity, technological failures, and operational risks, which could affect our reputation, financial condition, and operating results. See “—</w:t>
      </w:r>
      <w:r>
        <w:rPr>
          <w:rFonts w:ascii="Times New Roman;serif" w:hAnsi="Times New Roman;serif"/>
          <w:b w:val="false"/>
          <w:i/>
          <w:color w:val="000000"/>
          <w:sz w:val="20"/>
        </w:rPr>
        <w:t>Risks Relating to our Business and Industry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applicability of certain preexisting laws and regulations to our prediction markets business is uncertain and Gemini Predictions could become subject to, or the target of, a regulatory or enforcement action.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 of Gemini Predictions may expose us to legal, regulatory, and other risks. As the prediction market industry is relatively nascent, it is difficult to predict how the legal and regulatory framework around prediction markets will develop and how such developments will impact our business and Gemini Predictions. In particular, although Gemini Predictions is operated through Gemini Titan, an affiliate that has been licensed by the CFTC as a DCM, regulators or courts could determine that particular products, market types, or features of Gemini Predictions are impermissible, must be modified, or must be discontinued.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the CFTC has previously taken steps that could limit the types of event contracts that can be offered on CFTC-regulated entities and could impose additional regulations or restrictions around how such products are designed and offered, and has recently indicated it may pursue additional rulemaking and other regulatory actions relating to these products. If the CFTC’s approach evolves in a way that restricts certain categories of contracts (including sports-related contracts) or requires different product features or controls, we could be required to change, limit, or discontinue aspects of Gemini Predictions. In addition, regulators and courts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6840"/>
                <wp:effectExtent l="0" t="0" r="0" b="0"/>
                <wp:wrapNone/>
                <wp:docPr id="76"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may take different views about the interaction between federal commodities regulation and state gambling, wagering, or gaming laws. State regulators may seek to restrict the availability of certain prediction market products notwithstanding federal oversight, which could require us to geo-fence, modify, or suspend certain markets or limit access in some jurisdictions. A fragmented, state-by-state regulatory approach could require us to implement differing controls, restrict availability in certain jurisdictions, which may ultimately reduce adoption and revenue from Gemini Predictions. For example, in December 2025, the Connecticut Department of Consumer Protection issued cease-and-desist orders to multiple platforms, directing them to stop making available “sports event contracts” and other alleged unlicensed online gambling to Connecticut residents. In addition, in March 2026, Arizona brought criminal charges against Kalshi alleging that it was operating an illegal gambling business in violation of Arizona law by offering certain event contracts to Arizona residents and Nevada won a temporary restraining order to prevent Kalshi from offering certain event-based contracts in Nevada. Similar actions (or threatened actions) by other state regulators could result in restrictions on where and how we offer Gemini Predictions.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fail to accurately anticipate or manage the risks associated with Gemini Predictions, or if we directly or indirectly become subject to disputes, liability, or other legal or regulatory issues, our prediction markets business and our financial condition, results of operations, reputation, and growth prospects could be materially harmed.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Certain transactions in digital assets on our digital asset exchange platform may constitute “retail commodity transactions” subject to regulation by the CFTC as futures contracts. If transactions in digital assets on our platform are deemed to be such retail commodity transactions, we would be subject to additional regulatory requirements, licenses and approvals, and potentially face regulatory enforcement, civil liability, and significant increased compliance and operational costs.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    Any transaction in a commodity, including digital assets deemed to be commodities, entered into with or offered to retail investors using leverage, margin, or other financing arrangements (a “retail commodity transaction”) is subject to CFTC regulation as a futures contract unless such transaction results in actual delivery within 28 days. The meaning of “actual delivery” has been the subject of commentary and litigation, and in 2020, the CFTC adopted interpretive guidance addressing the “actual delivery” of a digital asset, which the CFTC later withdrew in December 2025. To the extent that any leveraged, margined, or financed transactions in digital assets on our platform are deemed retail commodity transactions, including pursuant to current or subsequent rulemaking or guidance by the CFTC, we may be subject to additional regulatory requirements and oversight, and we could be subject to judicial or administrative sanctions if we do not or did not at a relevant time possess appropriate registrations. The CFTC has previously brought enforcement actions against entities engaged in retail commodity transactions without appropriate registrations, as well as recent enforcement settled orders against developers of decentralized platforms.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Particular digital assets or transactions therein on our exchange platform could be deemed “commodity interests” (e.g., futures, options, swaps) or security-based swaps subject to regulation by the CFTC or SEC, respectively. If a digital asset or digital asset transaction on our exchange platform is deemed a commodity interest or a security-based swap, we would be subject to additional regulatory requirements, registrations and approvals, and potentially face regulatory enforcement, civil liability, and significant increased compliance and operational costs.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Commodity interests, as such term is defined by the CEA and CFTC rules and regulations, are subject to more extensive supervisory oversight by the CFTC, including registrations of entities engaged in, and platforms offering, commodity interest transactions. This CFTC authority extends to digital asset futures contracts and swaps, including transactions that are based on current and future prices of digital assets and indices of digital assets. To the extent that a transaction in digital assets on our platform is deemed to fall within the definition of a commodity interest, including pursuant to subsequent rulemaking or guidance by the CFTC, we may be subject to additional regulatory requirements and oversight and could be subject to judicial or administrative sanctions if we do not or did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6840"/>
                <wp:effectExtent l="0" t="0" r="0" b="0"/>
                <wp:wrapNone/>
                <wp:docPr id="77"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at a relevant time possess appropriate CFTC registrations as an exchange (for example, as a swaps execution facility for trading swaps) or as a registered intermediary (for example, as a futures commission merchant or introducing broker). Such actions could result in injunctions, cease and desist orders, as well as civil monetary penalties, fines, and disgorgement, as well as reputational harm. The CFTC has previously brought enforcement actions against entities engaged in digital asset activities for failure to obtain appropriate exchange, execution facility, and intermediary registrations.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the CFTC and the SEC have jointly adopted regulations defining “security-based swaps,” which include swaps based on single securities and narrow-based indices of securities. If a digital asset is deemed to be a security, certain transactions referencing that digital asset could constitute a security-based swap. A digital asset or transaction therein that is based on or references a security or index of securities, whether or not such securities are themselves digital assets, could also constitute a security-based swap. To the extent that a transaction in digital assets on our platform falls within the definition of a security-based swap, including pursuant to subsequent rulemaking or guidance by the CFTC or SEC, we may be subject to additional regulatory requirements and oversight by the SEC and could be subject to judicial or administrative sanctions if we do not or did not a relevant time possess appropriate registrations as an exchange (for example, a security-based swaps execution facility) or as a registered intermediary (for example, as a security-based swap dealer or broker). This could result in injunctions, cease and desist orders, as well as civil monetary penalties, fines, and disgorgement, as well as reputational harm.</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Gemini Credit Card is subject to various laws, regulations, and industry standards, all of which are subject to change and some of which are subject to uncertain interpretation.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Gemini Credit Card is subject to numerous laws, regulations, and industry standards. Applicable consumer protection laws and regulations include federal, state, and local laws relating to unfair, deceptive, and abusive acts and practices, disclosures, fair lending and anti-discrimination, marketing, solicitation, and cancellation practices, fees and interest rates, credit reports and credit bureau reporting, electronic fund transfers, service member protections, collections activity, data privacy, open banking and access to customer data, AML, and other topics. For example, the Credit Card Accountability, Responsibility, and Disclosure Act of 2009 (the “CARD Act”) imposes strict consumer protection rules, including limitations on interest rate increases, fee caps, and transparency requirements, to which the credit card product must also adhere. Failure to comply with the CARD Act can result in substantial penalties, restrictions, and other sanctions and relief that could affect our ability to provide access to competitive credit card terms and impact our revenues and user retention. Compliance with CARD Act requirements adds further complexity and operational costs, and evolving regulatory guidance or enforcement actions may increase these burdens over time.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credit card product is subject to industry standards, including the Payment Card Industry Data Security Standard (“PCI DSS”), which is a set of security standards created to ensure that all companies that process, store, or transmit credit card information maintain a secure environment. Compliance with PCI DSS is mandatory for companies that handle credit card transactions and requires adherence to stringent controls and procedures to safeguard sensitive cardholder data. Failure to meet PCI DSS requirements can lead to substantial fines, increased transaction fees, or the revocation of our ability to process credit card transactions, which could materially impact our business operations. Moreover, maintaining PCI DSS compliance is complex, costly, and requires regular audits, updates to our systems, and continuous monitoring of our security practices.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these laws, regulations, or standards, or to the prevailing interpretation thereof, may make complying with them even more challenging. Any failure to comply with the CARD Act, PCI DSS, or other applicable laws, regulations or industry standards, or the failure to accurately interpret how new laws, regulations, or industry standards apply to our business could result in costly legal challenges or expose us to regulatory enforcement actions, substantial fines, and reputational harm, which could negatively impact our business, operating results, and financial position. Such failure may also cause WebBank to terminate our relationship, subject us to an indemnity claim by WebBank, or otherwise have a material adverse impact on our credit card business. For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16840"/>
                <wp:effectExtent l="0" t="0" r="0" b="0"/>
                <wp:wrapNone/>
                <wp:docPr id="78"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information with respect to risks related to our agreement with WebBank, see “—</w:t>
      </w:r>
      <w:r>
        <w:rPr>
          <w:rFonts w:ascii="Times New Roman;serif" w:hAnsi="Times New Roman;serif"/>
          <w:b w:val="false"/>
          <w:i/>
          <w:color w:val="000000"/>
          <w:sz w:val="20"/>
        </w:rPr>
        <w:t>Risks Relating to our Business and Industry—We rely on our agreement with WebBank to offer the Gemini Credit Card. If our relationship with WebBank were to end, the ability to continue to offer the Gemini Credit Card would be affected</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Moreover, the crypto rewards provided in connection with the Gemini Credit Card are custodied by GTC and serviced by Gemini Constellation, LLC. Changes to laws and regulations applicable to GTC, and to the digital asset space generally, may materially and adversely impact our credit card business, including by affecting the manner in which Gemini Credit Card holders receive, maintain, and use their crypto rewards. For more information on the risks associated with changing laws and regulations, see “—</w:t>
      </w:r>
      <w:r>
        <w:rPr>
          <w:rFonts w:ascii="Times New Roman;serif" w:hAnsi="Times New Roman;serif"/>
          <w:b w:val="false"/>
          <w:i/>
          <w:color w:val="000000"/>
          <w:sz w:val="20"/>
        </w:rPr>
        <w:t>We are subject to an extensive, highly-evolving, and uncertain regulatory landscape and any adverse changes to, or our failure to comply with, any laws and regulations could adversely affect our brand, reputation, business, operating results, and financial condition</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subject to an extensive, highly-evolving, and uncertain regulatory landscape and any adverse changes to, or our failure to comply with, any laws and regulations could adversely affect our brand, reputation,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continuously monitoring the state of regulation in each jurisdiction in which we operate. We cannot guarantee that we will be able to comply with all new and existing regulations being implemented with respect to digital asset service providers.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extensive laws, rules, regulations, policies, orders, determinations, directives, treaties, and legal and regulatory interpretations and guidance in the markets in which we operate, including those governing financial services and banking, federal government contractors, trust companies, securities, derivative transactions and markets, broker-dealers and ATS, commodities, credit, digital asset custody, exchange, and transfer, cross-border and domestic money and digital asset transmission, commercial lending, usury, foreign currency exchange, privacy, data governance, data protection, cybersecurity, fraud detection, payment services (including payment processing and settlement services), consumer protection, escheatment, antitrust and competition, bankruptcy, tax, anti-bribery, economic and trade sanctions, AML, and counter-terrorist financing. Many of these legal and regulatory regimes were adopted prior to the advent of the internet, mobile technologies, digital assets, blockchain technology, generative AI, and related technologies. As a result, some applicable laws and regulations do not contemplate or address unique issues associated with the digital asset industry, are subject to significant uncertainty, and vary widely across U.S. federal, state, and local and international jurisdictions. These legal and regulatory regimes, including the laws, rules, and regulations thereunder, evolve frequently and may be modified, interpreted, and applied in an inconsistent manner from one jurisdiction to another, and may conflict with one another. Moreover, the complexity and evolving nature of our business and the significant uncertainty surrounding the regulation of the digital assets requires us to exercise our judgment as to whether certain laws, rules, and regulations apply to us, and it is possible that governmental bodies and regulators may disagree with our conclusions, as has happened in the past. To the extent we have not complied with such laws, rules, and regulations, we could be subject to significant fines, revocation of licenses, limitations on or temporary or permanent suspensions of our products and services, reputational harm, and other regulatory consequences, each of which may be significant and could adversely affect our business,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various governmental and regulatory bodies, including legislative and executive bodies, in the United States and in other countries may adopt new laws and regulations, the direction and timing of which may be influenced by changes in the governing administrations and major events in the digital asset industry. For example, following the failure of several prominent digital asset trading venues and lending platforms, such as FTX, Celsius Networks, Voyager, and Three Arrows Capital in 2022, U.S. policymakers expressed the need for both greater federal oversight of the digital asset space and comprehensive digital asset legislation.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Presently, and in the future, various governmental and regulatory bodies, including in the United States, may introduce new policies, laws, and regulations relating to digital assets. Other companies’ failures of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6840"/>
                <wp:effectExtent l="0" t="0" r="0" b="0"/>
                <wp:wrapNone/>
                <wp:docPr id="79"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and other control functions, such as those that have occurred in the past, could accelerate an existing regulatory trend toward stricter oversight of digital asset platforms and the digital asset industry more generally. Furthermore, new interpretations of existing laws and regulations may be issued by such bodies or the judiciary, which may adversely impact the development of digital assets as a whole and our legal and regulatory status in particular by changing how we operate our business, how our products and services are regulated, and what products or services we and our competitors can offer, requiring changes to our compliance and risk mitigation measures, imposing new licensing requirements, or imposing a total ban on certain digital asset transactions, as has occurred in certain jurisdictions in the past. From time to time, the NYDFS issues guidance for virtual currency businesses in New York. For example, in November 2023, the NYDFS issued guidance regarding the listing of virtual currencies. This guidance and other applicable state law guidance regarding virtual currency business activity could result in changes to our business in such states as well as the risk of increased operational costs and the risk of enforcement actions. If we are unable to comply with any new requirements, our ability to offer our products and services in their current form may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under recommendations from the FinCEN, and the Financial Action Task Force, the U.S. and several foreign jurisdictions have or are likely to impose the Funds Travel Rule and the Funds Transfer Rule (commonly referred to collectively as the “Travel Rule”) on financial service providers in the digital asset industry. We may face substantial costs to operationalize and comply with the Travel Rule and may be further subject to administrative sanctions for technical violations or user attrition if the user experience suffers as a result. In October 2023, FinCEN released a proposed rule that identifies virtual currency “mixing” as a class of transactions of primary money laundering concern and imposes heightened recordkeeping and reporting obligations for financial institutions with respect to those transactions. There are substantial uncertainties regarding the scope of these requirements in practice, and we may face substantial costs to operationalize and comply with these rules.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we offer and may in the future offer products and services whose functionality or value depends in part on our management of smart contracts, liquid staking, asset tracking, or other applications that provide novel forms of user engagement and interaction delivered via blockchain protocols. We may also offer products and services whose functionality or value depends on our ability to develop, integrate, or otherwise interact with such applications within the bounds of our legal and compliance obligations. The legal and regulatory landscape for such products, including the law governing the rights and obligations between and among smart contract developers and users and the extent to which such relationships entail regulated activity is uncertain and rapidly evolving. Our interaction with those applications, and the interaction of other blockchain users with any smart contracts or assets we may generate or control, could present legal, operational, reputational, and regulatory risks for our business. We may be further subject to administrative sanctions for technical violations or user attrition if the user experience suffers as a result.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Because we have offered and will continue to offer a variety of innovative products and services to our users, such as Gemini Predictions, GUSD, Nifty Gateway and the Gemini Credit Card, many of our offerings are subject to significant regulatory uncertainty and we may, from time to time, face regulatory inquiries regarding our current and planned products. For instance, we are an issuer of GUSD, which is redeemable on a one-to-one basis for U.S. dollars. The regulatory treatment of fiat-backed stablecoins is highly uncertain and has drawn significant attention from legislative and regulatory bodies around the world. The issuance and resale of such stablecoins may implicate a variety of banking, deposit, money transmission, prepaid access and stored value, AML, commodities, securities, sanctions, and other laws and regulations in the United States and in other jurisdictions. Legislative efforts have also focused on setting criteria for stablecoin issuers and what rules will govern redeemability and collateral. For example, in July 2025, the GENIUS Act was signed into law, reflecting a legislative interest in establishing and developing frameworks for the regulation of stablecoins and digital assets more broadly. In 2025, the U.S. House of Representatives also passed the CLARITY Act in an effort to pass laws relating to digital asset market structure. There is substantial uncertainty on how any such legislation will apply in practice, and we may face substantial compliance costs to operationalize and comply with these rules.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16840"/>
                <wp:effectExtent l="0" t="0" r="0" b="0"/>
                <wp:wrapNone/>
                <wp:docPr id="80"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our products and services incorporate digital engagement, including recommendations, incentives, notifications, educational content, and relevant news. Legislators and regulators in jurisdictions in which we operate have solicited comment from the public or proposed or adopted laws or regulations relating to the use of gamification, predictive analytics, or other digital engagement features or practices in various products and services, including potential conflicts of interest that may arise as a result of such practices. If such laws or regulations are adopted in jurisdictions in which we operate and deemed to apply to the products and services we offer, we could be required to change the way we market our offerings and interact with existing and prospective users or modify certain features contained within our products and services, any of which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offer staking and credit card rewards, which are subject to significant regulatory uncertainty, and could implicate a variety of laws and regulations worldwide. For example, there is regulatory uncertainty regarding the status of our staking, rewards, and other yield-generating activities under the U.S. federal and state securities laws. While we have implemented policies and procedures, including geo-fencing for certain products and services, designed to help monitor for and ensure compliance with existing and new laws and regulations, there can be no assurance that we and our employees, contractors, and agents will not violate or otherwise fail to comply with such laws and regulations. Similarly, with respect to the Gemini Credit Card, interchange fees have been the subject of litigation and legislative attention in the past and might be the subject of future litigation. If payment networks are forced to reduce their interchange fees through litigation or otherwise, it may adversely impact our revenue, operating results, and financial position. To the extent that we or our employees, contractors, or agents are deemed or alleged to have violated or failed to comply with any laws or regulations, including related interpretations, orders, determinations, directives, or guidance, we or they could be subject to a litany of civil, criminal, and administrative fines, penalties, orders, and actions, including being required to suspend or terminate the offering of certain products and services. Moreover, to the extent our users nevertheless access our platform, products, or services outside of jurisdictions where we have obtained required governmental licenses and authorization, we could similarly be subject to a variety of civil, criminal, and administrative fines, penalties, orders, and actions as a result of such activity.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products and services are complex and involve new and evolving technologies, and it is therefore difficult to ensure they meet regulatory requirements across different jurisdictions. Before deciding whether to offer products and services in a jurisdiction, we intend to assess the jurisdiction, including by way of legal review, to determine whether and to what extent services and products will be offered. Legal and regulatory change, as well as technical constraints, may result in changes in the services or products available or in the categories of users that are able to access them in a particular jurisdiction. However, our decision for each jurisdiction will involve an assessment of our compliance with applicable law, and local regulators may disagree that our offering of services and products in the relevant jurisdiction is in compliance with applicable law. Further, it may not be possible or practical to obtain external advice across the full spectrum of legal and/or regulatory issues relevant to our business in all relevant jurisdictions, and certain issues may require us to make interpretive judgments with respect to unclear legal and regulatory requirements, and local regulators may disagree with our interpretations.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not yet operational, Gemini Galactic Markets, LLC ("Gemini Galactic"), our broker-dealer subsidiary, is subject to regulatory restrictions and requirements imposed by applicable statutes, regulations, and policies in the jurisdictions in which we operate. U.S. government agencies and self-regulatory organizations, including U.S. state securities commissions, are empowered to enforce the regulatory restrictions and requirements applicable to us and conduct administrative proceedings that can result in censure, fine, the issuance of cease and desist orders or the suspension or expulsion of a broker-dealer from registration or membership. Gemini Galactic is registered with the SEC and with all 50 U.S. states and is a member of the Financial Industry Regulatory Authority, Inc. (“FINRA”), a securities industry self-regulatory organization that supervises and regulates the conduct and activities of its members. As a registered broker-dealer, Gemini Galactic is subject to periodic examinations and investigations by FINRA. Further, Gemini Galactic is subject to the BSA, and the implementing regulations thereunder, which require financial institutions, including broker-dealers, to establish AML compliance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6840"/>
                <wp:effectExtent l="0" t="0" r="0" b="0"/>
                <wp:wrapNone/>
                <wp:docPr id="81"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file suspicious activity and other reports with the U.S. government and maintain certain records. Broker-dealers must also implement related user identification procedures and beneficial ownership identification procedures.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Due to our business activities, including, but not limited to, with respect to digital assets, prediction markets and credit cards, we are subject to ongoing examinations, oversight, and reviews and currently are, and expect to be in the future, subject to investigations and inquiries, by U.S. federal and state regulators and foreign financial service regulators, many of which have broad discretion to audit and examine our business. We are periodically subject to, and will in the future continue to be subject to, audits and examinations by these regulatory authorities. As a result of findings from these audits and examinations, regulators have required, are requiring, and may in the future require us to take certain actions. Such actions might include amending, updating, or revising our compliance measures, limiting the kinds of users that we provide services to, or delaying the introduction of new product and services. We have received, and may in the future receive, examination reports citing violations of rules and regulations, inadequacies in existing compliance programs, and requiring us to enhance certain practices with respect to our compliance program, including due diligence, monitoring, training, reporting, and recordkeeping. Implementing appropriate measures to properly remediate these examination findings may require us to incur significant costs, and if we fail to properly remediate any of these examination findings, we could face civil litigation, significant fines, damage awards, forced removal of certain employees including members of our executive team, barring of certain employees from participating in our business in whole or in part, revocation of existing licenses, limitations on existing and new products and services, reputational harm, negative impact to our existing relationships with regulators, exposure to criminal liability, or other regulatory consequences.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New laws, regulations, or interpretations may result in additional litigation, regulatory investigations, and enforcement or other actions, including preventing or delaying us from offering certain products or services offered by our competitors or could impact how we offer such products and services. Adverse changes to, or our failure to comply with, any laws and regulations have had, and may continue to have, an adverse effect on our reputation and brand and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expand our international operations, our obligations to comply with the laws, rules, regulations, and policies of a variety of jurisdictions will increase and we may be subject to inquiries, investigations, and enforcement actions by U.S. and non-U.S. regulators and governmental authorities, including those related to sanctions, export control, and AML.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we expand and localize our international operations, we will become increasingly obligated to comply with the laws, rules, regulations, policies, and legal interpretations of both the jurisdictions in which we operate and those into which we offer services on a cross-border basis. For instance, financial regulators outside the United States have increased their scrutiny of digital asset exchanges over time, such as by requiring digital asset exchanges operating in their local jurisdictions to be regulated and licensed under local laws. Moreover, laws regulating financial services, the internet, mobile technologies, digital assets, NFTs and related technologies outside of the United States are highly evolving, extensive and often impose different, more specific, or even conflicting obligations on us, as well as broader liability. In addition, we are required to comply with laws and regulations related to economic sanctions and export controls enforced by the U.S. Department of the Treasury’s Office of Foreign Assets Control (“OFAC”), the U.S. Department of Commerce’s Bureau of Industry and Security, and U.S. AML and counter-terrorist financing laws and regulations, enforced by FinCEN and certain state financial services regulators. U.S. sanctions and export control laws and regulations generally restrict dealings by persons subject to U.S. jurisdiction with certain jurisdictions that are the target of comprehensive embargoes, currently the Crimea Region, the Donetsk People’s Republic, and the Luhansk People’s Republic of Ukraine, Cuba, Iran, North Korea, and Syria, as well as with persons, entities, and governments identified on certain prohibited party lists. Moreover, as a result of the Russian invasion of Ukraine, the United States, the E.U., the United Kingdom, and other jurisdictions have imposed wide-ranging sanctions on Russia and Belarus and persons and entities associated with Russia and Belarus. There can be no certainty regarding whether such governments or other governments will impose additional sanctions, or other economic or military measures against Russia or Belarus. We do not operate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16840"/>
                <wp:effectExtent l="0" t="0" r="0" b="0"/>
                <wp:wrapNone/>
                <wp:docPr id="82"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countries and we have implemented additional processes and procedures to comply with these sanctions. However, any potential activity with users associated with these countries may subject us to further exposure to sanctions as they are released. We have an OFAC compliance program in place that includes, among other controls, monitoring of IP addresses to identify prohibited jurisdictions and of blockchain addresses that have either been identified by OFAC as prohibited or that otherwise are believed by us to be associated with prohibited persons or jurisdictions. Nonetheless, there can be no guarantee that our compliance program will prevent transactions with particular persons or addresses or prevent every potential violation of OFAC sanctions. From time to time, we have submitted voluntary disclosures to OFAC or responded to administrative subpoenas from OFAC, some of which are currently under review by OFAC. To date, none of those proceedings has resulted in a monetary penalty or adverse action. Any present or future government inquiries relating to sanctions could result in negative consequences for us, including costs related to government investigations, financial penalties, and harm to our reputation. The impact on us related to such matters could be substantial. Although we have implemented controls, and continuously work to enhance our controls and screening tools designed to promote sanctions compliance, there is no guarantee that we will not inadvertently provide access to our products and services to sanctioned parties or jurisdictions in the future.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Regulators worldwide frequently study each other’s approaches to the regulation of the digital asset space. Consequently, developments in any jurisdiction may influence other jurisdictions. New developments in one jurisdiction may be extended to additional services and other jurisdictions. As a result, the risks created by any new law or regulation in one jurisdiction are magnified by the potential that they may be replicated, affecting our business in another place or involving another service. Conversely, if regulations diverge worldwide, we may face difficulty adjusting our products, services, and other aspects of our business with the same effect. These risks are heightened as we face increased competitive pressure from other similarly situated businesses that engage in regulatory arbitrage to avoid the compliance costs associated with regulatory changes.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complexity of U.S. federal and state and international regulatory and enforcement regimes, coupled with the global scope of our operations and the evolving global regulatory environment, could result in a single event prompting a large number of overlapping investigations and legal and regulatory proceedings by multiple government authorities in different jurisdictions. Any of the foregoing could, individually or in the aggregate, harm our reputation, damage our brand and business, and adversely affect our operating results and financial condition. Due to the uncertain application of existing laws and regulations, it may be that, despite our regulatory and legal analysis concluding that certain products and services are currently unregulated, such products or services may indeed be subject to regulation, licensing, or authorization obligations that we have not obtained or with which we have not complied. As a result, we are at a heightened risk of enforcement action, litigation, regulatory, and legal scrutiny, which could lead to sanctions, cease and desist orders, or other penalties and censures which could significantly and adversely affect our continued operations and financial condition. Engaging in cross-border business can make it difficult for us to ensure that we adequately protect our legal rights and interests. We may incur liability from breaching our legal obligations or may not be able to enforce legal rights and obligations or to enforce them consistently and predictability across these jurisdictions.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and may continue to be, subject to material litigation, including individual and class action lawsuits, as well as investigations and enforcement actions by regulators and governmental authorities. These matters are often expensive and time consuming, and, if resolved adversely, could harm our business, operating results, and financial condition.</w:t>
      </w:r>
    </w:p>
    <w:p>
      <w:pPr>
        <w:pStyle w:val="TextBody"/>
        <w:bidi w:val="0"/>
        <w:spacing w:lineRule="auto" w:line="288" w:before="0" w:after="0"/>
        <w:jc w:val="both"/>
        <w:rPr/>
      </w:pPr>
      <w:r>
        <w:rPr>
          <w:rFonts w:ascii="Times New Roman;serif" w:hAnsi="Times New Roman;serif"/>
          <w:b w:val="false"/>
          <w:color w:val="000000"/>
          <w:sz w:val="20"/>
        </w:rPr>
        <w:br/>
        <w:t xml:space="preserve">    We have been, currently are, and may from time to time become subject to claims, arbitrations, individual and class action lawsuits, government and regulatory investigations, inquiries, actions, or requests, including with respect to both consumer and employment matters, and other proceedings alleging violations of laws, rules, and regulations, both foreign and domestic. For example, we are currently subject to a purported federal securities class action, which is described in </w:t>
      </w:r>
      <w:r>
        <w:rPr>
          <w:rFonts w:ascii="Times New Roman;serif" w:hAnsi="Times New Roman;serif"/>
          <w:b w:val="false"/>
          <w:i/>
          <w:color w:val="000000"/>
          <w:sz w:val="20"/>
        </w:rPr>
        <w:t>Note 23. Subsequent Events</w:t>
      </w:r>
      <w:r>
        <w:rPr>
          <w:color w:val="000000"/>
        </w:rPr>
        <w:t xml:space="preserve"> </w:t>
      </w:r>
      <w:r>
        <w:rPr>
          <w:rFonts w:ascii="Times New Roman;serif" w:hAnsi="Times New Roman;serif"/>
          <w:b w:val="false"/>
          <w:color w:val="000000"/>
          <w:sz w:val="20"/>
        </w:rPr>
        <w:t xml:space="preserve">to our audited consolidated financial statements included elsewhere in this Annual Report on Form 10-K. The scope, determination, and impact of claims, lawsuits,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6840"/>
                <wp:effectExtent l="0" t="0" r="0" b="0"/>
                <wp:wrapNone/>
                <wp:docPr id="83"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government and regulatory investigations, enforcement actions, disputes, and proceedings to which we are subject cannot be predicted with certainty, and may result in: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substantial payments to satisfy judgments, fines, or penalties;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substantial outside counsel legal fees and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additional compliance and licensure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loss or non-renewal of existing licenses or authorizations, or prohibition from or delays in obtaining additional licenses or authorizations, required for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loss of productivity and high demands on employee time;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criminal sanctions or consent decrees;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termination of certain employees, including members of our executive team;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barring of certain employees from participating in our business in whole or in part;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orders that restrict our business or prevent us from offering certain products or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to our business model and practices;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delays to planned transactions, product launches, or improvements;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damage to our brand and reputation.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our large user base, actions against us may claim large monetary damages, even if the alleged per-user harm is small or non-existent. Regardless of the outcome, any such matters can have an adverse impact, which may be material, on our business, operating results, or financial condition because of legal costs, diversion of management resources, reputational damage, and other factors.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compliance and risk management methods might not be effective and may result in a regulatory enforcement action and other outcomes that could adversely affect our reputation,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comply with applicable complex and evolving laws, regulations, and rules is largely dependent on the establishment, maintenance, and scaling of our compliance, internal audit, and reporting systems to continuously keep pace with our user activity and transaction volume, as well as our ability to attract and retain qualified compliance and other risk management personnel. While we have devoted significant resources to develop policies and procedures to identify, monitor, and manage our risks, and expect to continue to do so in the future, we cannot assure you that our policies and procedures are and will always be effective or that we have been and will always be successful in monitoring or evaluating the risks to which we are or may be exposed in all market environments, including unidentified or unanticipated risks. Our risk management policies and procedures rely on a combination of technical and human controls and supervision that are subject to error and failure. Some of our methods for managing risk are discretionary by nature and are based on internally developed controls and observed historical market behavior, and also involve reliance on standard industry practices. These methods may not adequately prevent losses, particularly as they relate to extreme market movements, which may be significantly greater than historical fluctuations in the market. In the future, we may identify gaps in such policies and procedures or existing gaps may become higher risk, and may require significant resources and management attention. Our risk management policies and procedures also may not adequately prevent losses due to technical errors if our testing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16840"/>
                <wp:effectExtent l="0" t="0" r="0" b="0"/>
                <wp:wrapNone/>
                <wp:docPr id="84" name="Frame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quality control practices are not effective in preventing failures. In addition, we may elect to adjust our risk management policies and procedures to allow for an increase in risk tolerance, which could expose us to the risk of greater losses.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Regulators periodically review our compliance with our own policies and procedures and with a variety of laws and regulations. We have received in the past and may from time to time receive additional examination reports citing violations of rules and regulations and inadequacies in existing compliance programs, and requiring us to enhance certain practices with respect to our compliance program, including due diligence, training, monitoring, reporting, and recordkeeping. If we fail to comply with these, or do not adequately remediate certain findings, regulators could take a variety of actions that could impair our ability to conduct our business, including, but not limited to, delaying, denying, withdrawing, or conditioning approval of certain products and services. In addition, regulators have broad enforcement powers to censure, fine, issue cease and desist orders, prohibit us from engaging in some of our business activities, or revoke our licenses. We face significant intervention by regulatory authorities, including extensive examination and surveillance activities, and will continue to face the risk of significant intervention by regulatory authorities in the future. In the case of non-compliance or alleged non-compliance, we could be subject to investigations and proceedings that may result in substantial penalties or civil lawsuits, including by users, for damages which can be significant. Any of these outcomes would adversely affect our reputation and brand and our business,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consolidated balance sheets may not contain sufficient amounts or types of regulatory capital to meet the changing requirements of our various regulators worldwide, which could adversely affect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required to possess sufficient financial soundness and strength to adequately support our regulated subsidiaries. We may from time to time incur indebtedness and other obligations which could make it more difficult to meet these capitalization requirements or any additional regulatory requirements. In addition, although we are not a bank holding company for purposes of United States law or the law of any other jurisdiction, as a global provider of financial services and in light of the changing regulatory environment in various jurisdictions, we could become subject to new capital requirements introduced or imposed by the United States and international regulators. Any change or increase in these regulatory requirements could have an adverse effect on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operating subsidiaries licensed to, among other things, engage in money transmission in the United States and operate as a limited purpose trust company and conduct virtual currency business activity in New York, we are subject to strict rules governing how we manage and hold user fiat currency and digital assets. We maintain complex treasury operations to manage and move user fiat currency and digital assets across our platforms and to comply with regulatory requirements. However, it is possible we may experience errors in fiat currency and digital asset handling, accounting, and regulatory reporting that lead us to be out of compliance with these requirements. In addition, regulators may increase the amount of fiat currency reserves that we are required to maintain for our operations, as has happened in the past. Non-compliance with regulatory capital requirements may lead to sanctions, penalties, changes to our business operations, or the revocation of licenses. Frequent launch of new products and services increases these risks.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GTC is subject to certain regulatory capital requirements imposed by NYDFS. The capital requirement can be maintained in specified allocations of cash, virtual currency, or high-quality, highly liquid, investment-grade assets. The capital requirement is determined by NYDFS based upon GTC’s activities and is an amount deemed sufficient to ensure the financial integrity of the licensee and its ongoing operations based on an assessment of the specific risks applicable to it. The amounts set aside to satisfy these requirements are included in the consolidated balance sheets included in our financial statements appearing elsewhere in this Annual Report on Form 10-K.</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16840"/>
                <wp:effectExtent l="0" t="0" r="0" b="0"/>
                <wp:wrapNone/>
                <wp:docPr id="85" name="Frame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subject to significant legal and compliance risks and expenses relating to the NYDFS Cybersecurity Regulation.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NYDFS Cybersecurity Regulation requires covered entities, including limited purpose trust companies such as GTC, to establish and maintain a cybersecurity program designed to protect the confidentiality, integrity, and availability of our information systems. This includes, but is not limited to, developing a written policy or policies that address a number of key areas of cybersecurity, and conducting ongoing, comprehensive risk assessments. Further, on an annual basis, each institution is required to submit a certification of compliance with these requirements. In addition, the NYDFS Cybersecurity Regulation contains specific requirements with respect to third-party service provider security, cybersecurity personnel and intelligence, the use of multi-factor authentication, penetration testing and encryption of nonpublic information, which is defined to include not only personal information but also business-related information that, if accessed or acquired by an unauthorized third party, would cause a material adverse effect on the business, operations, or security of the covered entity. The NYDFS has previously brought enforcement actions, which involve civil monetary penalties. In the event of a cybersecurity incident, GTC could be subject to potentially significant monetary penalties and required to undertake expensive remediation 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Any failure to obtain or maintain necessary money transmission registrations and licenses could adversely affect our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Through our U.S. exchanges, GTC and Gemini Moonbase, we currently operate as a money transmitter in all 50 states and have obtained the requisite money transmitter licenses to the extent that the laws and regulations of such states clearly indicate that a license is required or where state regulators have advised us that we need a license to operate. In the U.S., we are registered as a money services business with FinCEN and are currently also licensed to operate as a money transmitter in various states. We also currently operate in states where we do not believe we are required, or have been informed by the relevant jurisdiction that we are not required, to obtain money transmitter licenses or any other required licenses. This belief is based on our analysis of the applicable laws and regulations and/or our communications with the regulators in the relevant jurisdiction. If our licenses are not renewed, we are denied licenses in additional states or jurisdictions where we choose to apply for a license, or jurisdictions where we believe a license is not required require a license in the future, we could be forced to seek a license or change our business practices.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    As a money services business and a money transmitter, we are subject to a range of legal obligations and requirements including bonding, net worth maintenance, user notice and disclosure, reporting, recordkeeping and cybersecurity requirements, and obligations that apply to the safeguarding of third-party funds and crypto assets. In addition, the licensed entities within our corporate structure are subject to inspection and examination by the state licensing agencies and certain actions involving those entities, such as changes in controlling equity holders, board members, and senior management, may require regulatory approval. Further, if we were found by these regulators to be in violation of any applicable laws, rules, or regulations, we could be subject to fines, penalties, lawsuits, and enforcement actions, additional compliance requirements, increased regulatory scrutiny of our business, restriction of our operations, or damage to our reputation or brand. Regulatory requirements are constantly evolving, and we cannot predict whether we will be able to meet changes to existing regulations or the introduction of new regulations without such compliance harming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jurisdictions have enacted rules that require money transmitters, money services businesses, or virtual currency businesses to establish and maintain transaction monitoring, filtering, screening, and cybersecurity programs. Wherever we are subject to these rules, we are required to adopt business practices that require additional expenditures and impact our operating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if federal, state, or international regulators were to take actions that limit or prohibit us or our business partners from continuing to operate our business or their businesses as currently operated, whether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16840"/>
                <wp:effectExtent l="0" t="0" r="0" b="0"/>
                <wp:wrapNone/>
                <wp:docPr id="86" name="Frame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imposing additional requirements, compliance obligations, or sanctions, such actions could harm our business. Any change to our business practices that makes our service less attractive to users or prohibits use of our products or services by residents of a particular jurisdiction could decrease our transaction volume and harm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obtain and process a large amount of personal data, including sensitive data. Any real or perceived improper use of, disclosure of, or access to such data could harm our reputation, as well as have an adverse effect on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our exchange, credit card program, and otherwise, we obtain and process large amounts of personal data, including personal data related to our users and their transactions, such as their names, addresses, and trading data, as well as sensitive data related to our users, such as their social security numbers, copies of government-issued identification, tax identification, and bank account information. In addition, our credit card business may involve the collection and storage of payment card information, transaction histories, and user spending patterns, all of which carry distinct privacy and regulatory risks. We face risks, including to our reputation, in the handling and protection of this data, and these risks will increase as our business continues to expand, including through our acquisition of, and investment in, other companies and technologies. Federal, state, and international laws and regulations governing privacy, data protection, and e-commerce transactions require us to safeguard our users’, employees’, and service providers’ personal data.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administrative, technical, and physical security measures and controls in place and strive to maintain a robust information security program. However, our security measures, or the security measures of companies we acquire, may be inadequate or breached as a result of third-party action, employee, or service provider error, malfeasance, malware, phishing, hacking attacks, system error, trickery, advances in computer capabilities, new discoveries in the field of cryptography, inadequate facility security, or otherwise, and, as a result, someone may be able to obtain unauthorized access to sensitive information, including personal data, on our systems. Such threats may see their frequency increased and effectiveness enhanced by the use of AI. In particular, unauthorized access to sensitive payment card information could expose us to enhanced privacy risks, regulatory penalties, and user remediation obligations. We could be the target of a cybersecurity incident, which could result in harm to our reputation and financial losses. Additionally, our users have been and may in the future be targeted in cybersecurity incidents like an account takeover, which could result in harm to our reputation and financial losses. For example, in 2022, certain of our third-party vendors and suppliers experienced data breaches, which resulted in the exposure of the email addresses and truncated phone numbers of certain of our users, and corresponding notification to those users and applicable regulators. Further, in June 2024, an unauthorized actor breached the systems of a service provider of one of our third-party ACH banking partners, affecting approximately 15,000 of our users, resulting in notification to those users and applicable regulators. In each case, there were no material failures of our technology systems. Privacy and data protection laws are subject to uncertainty and continue to evolve in ways that could adversely impact our business. These laws may be interpreted and applied in a manner that is inconsistent with our data handling safeguards and practices, which could result in fines, lawsuits, restrictions, and other penalties, and significant changes to our or our third-party partners’ business practices, products, and service offerings. We may also have to stop using certain tools and vendors and make other operational changes, which could be costly and time consuming and could adversely affect our business and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success depends on the reliability and security of our platform. To the extent that the measures we, any companies we acquire, or our third-party business partners have taken prove to be insufficient or inadequate, or to the extent we discover a security breach suffered by a company we acquire following the closing of such acquisition, we may become subject to litigation, breach notification obligations, user remediation obligations, or regulatory or administrative sanctions, which could result in significant fines, penalties, damages, restrictions, harm to our reputation, or loss of users. Given the volume of sensitive information required to operate our credit card business, the consequences of any unauthorized disclosure or improper access to this data could be particularly severe, leading to potential reputational harm, regulatory scrutiny, or penalties, restrictions and other relief under sector-specific privacy or data security standards, such as the PCI DSS. If our own confidential business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6840"/>
                <wp:effectExtent l="0" t="0" r="0" b="0"/>
                <wp:wrapNone/>
                <wp:docPr id="87" name="Frame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or sensitive user information were improperly disclosed, our business could be adversely affected. Additionally, a party who circumvents our security measures could, among other effects, misappropriate user information or other proprietary data, cause interruptions to our operations, or expose our users to hacks, viruses, and other disruptions.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Depending on the nature of the information compromised, in the event of a data breach or other unauthorized access to our user data, we may also have obligations to notify users and regulators about the incident, and we may need to provide some form of remedy, such as a subscription to credit monitoring services, pay significant fines to one or more regulators, or pay compensation in connection with a class-action settlement (including under the private right of action under the California Consumer Privacy Act of 2018, as amended (the “CCPA”), which took effect in 2020 and is expected to increase security breach litigation). Such breach notification laws continue to evolve and may be inconsistent from one jurisdiction to another. In the United States, the SEC has adopted rules for mandatory disclosure of cybersecurity incidents suffered by public companies, as well as governance and management of cybersecurity risks (including board oversight thereof). Complying with these obligations could cause us to incur substantial costs and could increase negative publicity surrounding any incident that compromises user data. Any failure or perceived failure by us to comply with these laws may also subject us to enforcement action or litigation, any of which could harm our business. Additionally, the financial exposure from the events referenced above could either not be insured against or not be fully covered through any insurance that we may maintain, and there can be no assurance that the limitations of liability in any of our contracts would be enforceable or adequate or would otherwise protect us from liabilities or damages as a result of the events referenced above. The complex and evolving requirements of privacy regulations applicable to our credit card business further increase our compliance burden and potential exposure in the event of any security incidents involving personal or payment-related data. Any of the foregoing could have an adverse effect on our business, reputation, operating results, and financial condition.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we may be required to disclose personal data pursuant to demands from individuals, regulators, government agencies, and law enforcement agencies in various jurisdictions with conflicting privacy and security laws, which could result in a breach of privacy and data protection policies, notices, laws, rules, court orders, or regulations. Additionally, changes in the laws and regulations that govern our collection, use, and disclosure of user data could impose additional requirements with respect to the retention and security of user data (especially as these requirements pertain to sensitive payment and transaction data processed by our credit card business), limit our marketing activities, and have an adverse effect on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subject to laws, regulations, and industry requirements related to data privacy, data protection and information security, AI, and user protection across different markets where we conduct our business, and such laws, regulations, and industry requirements are constantly evolving and changing. Any actual or perceived failure to comply with such laws, regulations, and industry requirements, or our privacy policies, could harm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Various local, state, federal, and international laws, directives, and regulations apply to our collection, use, retention, protection, disclosure, transfer, and processing of personal data. These data protection and privacy laws and regulations are subject to uncertainty and continue to evolve in ways that could adversely impact our business. These laws have a substantial impact on our operations both outside and in the United States, either directly as a data controller or as a data processor and handler for various offshore entities. Compliance with these laws, regulations, rules, and standards may require us to change our policies, procedures, and technology for cybersecurity, which could, among other things, make us more vulnerable to operational failure and to monetary penalties for breach of such laws, regulations, rules and standards. The data privacy and cybersecurity regulatory landscape is increasingly stringent and fragmented across different jurisdictions, leading to compliance challenges, governance costs, and potential liabilities.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16840"/>
                <wp:effectExtent l="0" t="0" r="0" b="0"/>
                <wp:wrapNone/>
                <wp:docPr id="88" name="Frame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United States, state and federal lawmakers and regulatory authorities have increased their attention on the collection and use of user data. In the United States, non-sensitive user data generally may be used under current rules and regulations, subject to certain restrictions, so long as the person does not affirmatively “opt-out” of the collection or use of such data. If an “opt-in” model or additional required “opt-outs” were to be adopted in the United States, less data may be available, and the cost of data likely would increase. For example, California enacted the CCPA, which requires covered companies to, among other things, provide new disclosures to California users, and affords such users new privacy rights such as the ability to opt-out of certain sales of personal information and expanded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Other state legislatures have also adopted data privacy legislation relating to privacy, data security, data breaches, and the protection of sensitive and personal information, with which we must comply, except to the extent exempted or preempted by federal law, such as the Gramm-Leach-Bliley Act. For example, in 2021, Virginia passed the Consumer Data Protection Act (the “CDPA”) (effective January 2023) and Colorado passed the Colorado Privacy Act (the “CPA”) (effective July 2023) to provide comparable consumer privacy rights to the CCPA. A number of other states’ comprehensive privacy laws became effective in 2024, including Texas Data Privacy and Security Act (the “TDPSA”) (effective July 2024) and the Oregon Consumer Privacy Act (the “OCPA”) (effective July 2024). In the future, additional states could also adopt data privacy legislation, which may include more stringent data privacy requirements. We cannot predict the impact of the CCPA, CDPA, CPA, TDPSA, OCPA, or other similar laws or regulations on our business or operations, but compliance therewith may require us to modify our data processing practices and policies incurring costs and expense. Further, to the extent multiple state-level laws are introduced with inconsistent or conflicting standards, it may require costly and difficult efforts to achieve compliance with such laws. Our failure or perceived failure to comply with the CCPA, CDPA, CPA, TDPSA, OCPA, or other similar laws or regulations passed in the future could have a material adverse effect on our business, including how we use personal information,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many foreign countries and governmental bodies, including the European Union, Singapore, United Kingdom, Switzerland, and numerous other jurisdictions in which we currently operate, previously operated, or conduct our business, have laws and regulations concerning the collection, use, processing, storage, and deletion of personal information obtained from their residents or by businesses operating within their jurisdictions. These laws and regulations may be more restrictive than those in the United States. Such laws and regulations may require companies to implement new privacy and security policies, permit individuals to access, correct, and delete personal information stored or maintained by such companies, inform individuals of security breaches that affect their personal information, require that certain types of data be retained on local servers within these jurisdictions, and, in some cases, obtain individuals’ affirmative opt-in consent to collect and use personal information for certain purposes.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our former presence in Europe and our prior service offerings in the European Union and the United Kingdom, we remain subject to the General Data Protection Regulation (the “E.U. GDPR”) and the U.K. General Data Protection Regulation (the “U.K. GDPR”) with respect to the processing of personal data we processed or continue to process relating to individuals in those jurisdictions, wherever that processing occurs. The E.U. GDPR and U.K. GDPR include operational requirements for companies that receive or process personal data and impose stringent data protection requirements, which could increase the risk of non-compliance and the costs of maintaining our data processing activities in a compliant manner. Failure to meet E.U. GDPR and U.K. GDPR requirements could result in significant penalties (including, under the E.U. GDPR, penalties of up to €20 million or 4% of our worldwide net trading income, whichever is greater), regulatory investigations, reputational damage, fines and sanctions, orders to cease or change our processing of our data, and other notices . We may also face civil claims including representative actions and other class action type litigation, potentially amounting to significant compensation or damages liabilities, as well as associated costs, diversion of internal resources, and reputational harm (for example, the E.U. GDPR confers a private right of action on data subjects and consumer associations).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16840"/>
                <wp:effectExtent l="0" t="0" r="0" b="0"/>
                <wp:wrapNone/>
                <wp:docPr id="89" name="Frame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both the E.U. GDPR (covering the European Economic Areas) and the U.K. GDPR impose strict rules on the transfer of personal data out of the European Union or the United Kingdom to a “third country,” including the United States. We currently rely on standard contractual clauses and related transfer mechanisms (as applicable) for certain intragroup and third-party data transfers, and if we are required to implement additional mechanisms, make other operational changes, or cease or limit certain transfers, it could affect the manner in which we process personal data and provide our services, increase our costs, or adversely affect our business, operating results, and financial condition. As supervisory authorities continue to issue further guidance on personal data, we could suffer additional costs, complaints, or regulatory investigations or fines; we may have to stop using certain tools and vendors and make other operational changes.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are exiting and winding down operations in the United Kingdom, the European Union, and other European jurisdictions, our prior activities and continued processing of certain personal data may continue to subject us to these requirements and related liabilities, and any failure to comply could have a material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conscious of the extensive and evolving regulatory frameworks in the jurisdictions in which we operate. For instance, the overall regulatory framework governing the application of privacy laws to blockchain technology is still highly undeveloped and likely to evolve. Further, there are changes in the regulatory landscape relating to new and emerging technologies, such as generative AI, which we have found and continue to find new ways to leverage in our products and internal operations. Our failure, or the failure by our third-party service providers or partners, to comply with applicable laws or regulations and to prevent unauthorized access to, or use or release of personal data, or the perception that any of the foregoing types of failure has occurred, even if unfounded, could subject us to audits, inquiries, whistleblower complaints, adverse media coverage, investigations, severe criminal, or civil sanctions, damage our reputation, or result in fines or proceedings by governmental agencies and private claims and litigation, any of which could adversely affect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required to comply with consumer protection laws in various jurisdictions, which may lead to increased costs of compliance, potential investigations, fines, remedial requirements, potential actions by consumers against us, such as user complaints and claims for losses, as well as not being able to enforce contracts and/or other rights against our users.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required to comply with consumer protection laws in various jurisdictions that focus on protecting the rights of consumers. Laws and regulations relating to consumer protection are evolving and subject to potentially differing interpretations. These requirements may be interpreted and applied in a manner that is inconsistent from one jurisdiction to another or may conflict with other rules or our practices. We may in the future become subject to investigation and enforcement action by local, national, and international consumer protection agencies, which monitor user complaints against us and, from time to time, escalate matters for investigation and potential enforcement against us. Any failure, or perceived failure, by us to comply with consumer protection-related laws and regulations to which we may be subject or other legal obligations relating to consumer protection could lead to increased costs of compliance, potential investigations, fines, remedial requirements, reputational damage, potential actions by consumers against us, such as user complaints and claims for losses, as well as not being able to enforce contractual and/or other rights against our users, which may result in adverse impact on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acceptance of various payment methods exposes us to evolving rules, regulations, and compliance requirements. Non-compliance may adversely affect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accept payments using a variety of methods, including debit cards, ACH, wires, PayPal, ApplePay, GooglePay, Cubix, Plaid Direct Payments, bank transfers, and FAST transfer. Acceptance of these payment options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16840"/>
                <wp:effectExtent l="0" t="0" r="0" b="0"/>
                <wp:wrapNone/>
                <wp:docPr id="90" name="Frame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subjects us to rules, regulations, contractual obligations, and compliance requirements, including payment card association operating rules, certification requirements and operating guidelines, data security standards and certification requirements, and rules governing electronic funds transfers. These requirements may change over time or be reinterpreted, making compliance more difficult or costly. Although no system can completely prevent theft, we have security countermeasures in place to reduce the potential for fraud and theft by criminals. If we fail to comply with applicable rules and regulations, we may be subject to fines or higher transaction fees and may lose our ability to accept online payments or other payment card transactions. If any of these events were to occur, our business, operating results, and financial condition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were deemed to be an investment company under the Investment Company Act of 1940 (the “1940 Act”), applicable restrictions likely would make it impractical for us to continue our business as currently contemplated.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Sections 3(a)(1)(A) and (C) of the 1940 Act, a company generally will be deemed to be an “investment company”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Rule 3a-1 under the 1940 Act generally provides that notwithstanding the Section 3(a)(1)(C) test described in clause (ii) above, an entity will not be deemed to be an “investment company” for purposes of the 1940 Act if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such entity, and securities issued by qualifying companies that are controlled primarily by such entity. We do not believe that we are an “investment company” as such term is defined in either Section 3(a)(1)(A) or Section 3(a)(1)(C) of the 1940 Act.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hold ourselves out as being engaged primarily, or propose to engage primarily, in the business of investing, reinvesting, or trading in securities within the meaning of Section 3(a)(1)(A) of the 1940 Act. However, our assessment of our business is not binding on the SEC or any federal court that would consider our status as an investment company in the future.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respect to Section 3(a)(1)(C), we believe we satisfy the elements of Rule 3a-1 and therefore are deemed not to be an investment company under, and we intend to conduct our operations such that we will not be deemed an investment company under, Section 3(a)(1)(C). We believe that we are not an investment company pursuant to Rule 3a-1 under the 1940 Act because, on a consolidated basis with respect to wholly-owned subsidiaries but otherwise on an unconsolidated basis, no more than 45% of the value of our total assets (exclusive of U.S. government securities and cash items) consists of, and no more than 45% of our net income after taxes (for the last four fiscal quarters combined) is derived from, securities other than U.S. government securities, securities issued by employees’ securities companies, securities issued by our qualifying majority owned subsidiaries, and securities issued by qualifying companies that are controlled primarily by us. Moreover, even if we were to fail the 40% test in Section 3(a)(1)(C), and not be able to rely on Rule 3a-1, under Section 3(b)(1) of the 1940 Act an entity is not an investment company if it is primarily engaged, directly or through a wholly-owned subsidiary or subsidiaries, in a business or businesses other than that of investing, reinvesting, owning, holding, or trading in securities. We believe that we meet the Section 3(b)(1) standard.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Digital assets, as well as new business models and transactions enabled by blockchain technologies, present novel interpretive questions under the 1940 Act. There is a risk that assets or arrangements that we have concluded are not securities could be deemed to be securities by the SEC or another authority for purposes of the 1940 Act, which would increase the percentage of securities held by us for 1940 Act purposes. The SEC has requested information from a number of participants in the digital assets ecosystem regarding the potential application of the 1940 Act to their businesses. For example, in an action unrelated to us or any of our subsidiaries, in February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6840"/>
                <wp:effectExtent l="0" t="0" r="0" b="0"/>
                <wp:wrapNone/>
                <wp:docPr id="91" name="Frame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SEC issued a cease-and-desist order under the 1940 Act to BlockFi Lending LLC, in which the SEC alleged that BlockFi was operating as an unregistered investment company because it issued securities and also held more than 40% of its total assets, excluding cash, in investment securities, including the loans of digital assets made by BlockFi to institutional borrowers.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were deemed to be an investment company, Rule 3a-2 under the 1940 Act is a safe harbor that provides a one-year grace period for transient investment companies that have a bona fide intent to be engaged primarily, as soon as is reasonably possible (in any event by the termination of such one-year period), in a business other than that of investing, reinvesting, owning, holding, or trading in securities, with such intent evidenced by the Company’s business activities and an appropriate resolution of its board of directors. The grace period is available not more than once every three years and runs from the earlier of (i) the date on which the issuer owns securities and/or cash having a value exceeding 50% of the issuer’s total assets on either a consolidated or unconsolidated basis or (ii) the date on which the issuer owns or proposes to acquire investment securities having a value exceeding 40% of the value of such issuer’s total assets (exclusive of U.S. government securities and cash items) on an unconsolidated basis. Accordingly, the grace period may not be available at the time that we seek to rely on Rule 3a-2; however, Rule 3a-2 is a safe harbor and we may rely on any exemption or exclusion from investment company status available to us under the 1940 Act at any given time. Furthermore, reliance on Rule 3a-2, Section 3(a)(1)(C), or Rule 3a-1 could require us to take actions to dispose of securities, limit our ability to make certain investments or enter into joint ventures, or otherwise limit or change our service offerings and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were to be deemed an investment company in the future, restrictions imposed by the 1940 Act—including limitations on our ability to issue different classes of stock and equity compensation to directors, officers, and employees and restrictions on management, operations, and transactions with affiliated persons likely would make it impractical for us to continue our business as contemplated, and could have a material adverse effect on our business, results of operations, and financial condition. As a result, any future guidance or action from the SEC or its Staff that affect our investment company status or analysis, including changes that the SEC or its Staff may propose and adopt to stablecoins and/or digital assets generally, could inhibit our ability, or the ability of our subsidiaries, to pursue our current or future operating strategies.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Classification as an investment company would additionally subject us to specialized accounting methods under the 1940 Act. Among other things, the 1940 Act prescribes the methods to be used when making determinations of value. For financial statement purposes, securities for which market quotations are readily available are valued at their market value, and securities for which market quotations are not readily available and all other assets are valued at fair value as determined in good faith by the board of directors or its valuation designee. Furthermore, a company subject to regulation under the 1940 Act is also required to present its financial statements as prescribed under applicable 1940 Act rules and regulations. If we were deemed to be an investment company, and were unable to qualify for an exemption or exclusion from investment company status under the 1940 Act, our accounting of assets and presentation of our financial statements would change, and the financial statement presentation would not in our view reflect the orientation of our operations and may make it difficult to compare our results of operations with the results of our competitors in the stablecoin and digital assets sector.</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Third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current and future services are dependent on payment networks, and any changes to their rules or practices could adversely impact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banks and other payment processors to process users’ payments in connection with the purchase of digital assets on our platform and we pay these providers fees for their services. From time to time, payment networks have increased, and may increase in the future, the interchange fees and assessments that they charge for transactions that use their networks. Payment networks have imposed, and may impose in the future, special fees on the purchase of digital assets, including on our platform, which could negatively impact us and significantly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16840"/>
                <wp:effectExtent l="0" t="0" r="0" b="0"/>
                <wp:wrapNone/>
                <wp:docPr id="92" name="Frame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costs. Our payment card processors may have the right to pass any increases in interchange fees and assessments on to us, and may impose additional use charges which would increase our operating costs and reduce our operating income. We could attempt to pass these increases along to our users, but this strategy might result in the loss of users to our competitors that may not pass along the increases, thereby reducing our revenue. If competitive practices prevent us from passing along the higher fees to our users in the future, we may have to absorb all or a portion of such increases, thereby increasing our operating costs.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also be directly or indirectly liable to the payment networks for rule violations. Payment networks set and interpret their network operating rules and may allege in the future that various aspects of our business model violate these operating rules. If such potential allegations are not resolved favorably, they may result in significant fines and penalties or require changes in our business practices that may be costly and adversely affect our business. The payment networks could adopt new operating rules or interpret or reinterpret existing rules that we or our processors might find difficult or even impossible to follow, or costly to implement. As a result, we could lose our ability to give users the option of using credit cards to fund their purchases or the choice of currency in which they would like their card to be charged. If we are unable to accept credit cards or are limited in our ability to do so, our business would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depend on major mobile operating systems and third-party platforms for the distribution of certain products. If Google Play, the Apple App Store, or other platforms prevent users from downloading our apps, our ability to grow may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upon third-party platforms for the distribution of certain products and services. The Google Play Store and Apple App Store, which are global application distribution platforms, are the main distribution channels for our app. We are highly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devices or new versions of operating systems, or changes in our relationships with mobile operating system providers, device manufacturers, or mobile carriers or in their terms of service or policies that degrade the functionality of our apps, reduce or eliminate our ability to distribute our app, give preferential treatment to competitive products, limit our ability to target or measure the effectiveness of our app, or impose fees or other charges related to our delivery of our app could adversely affect our business. Each provider of these operating systems and stores has broad discretion to change and interpret its terms of service and policies with respect to our platform and those changes might be unfavorable to us and our users’ use of our platform. In addition, these providers can require us to provide information and data, change our practices and implement certain features or policies related to our operations. Responding to such inquiries or implementing the changes these providers may ask us to do could be costly and time-consuming. Further, these providers may take aim at the digital assets listed on our platform, and require us to remove or delist these assets, which could cause reputational harm and adversely affect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were to violate, or an operating system provider or application store believes that we have violated, any terms of service or policies, that operating system provider or application store could limit or discontinue our access to its operating system or store. There can be no guarantee that third-party platforms will continue to support our product offerings, or that users will be able to continue to use our products on such third-party platforms and any limitation or discontinuation of our access to any third-party platform or app store could adversely affect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Intellectual Property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intellectual property rights are valuable, and any inability to protect them could adversely impact our business, operating results, and financial condition.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16840"/>
                <wp:effectExtent l="0" t="0" r="0" b="0"/>
                <wp:wrapNone/>
                <wp:docPr id="93" name="Frame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relies heavily in large part on our proprietary technology and our brand. We protect our intellectual property through a combination of trademark, trade dress, domain name, copyright, and trade secret rights, as well as confidentiality and license agreements with our employees, contractors, consultants, and third parties. We expect to continue using these measures to establish, protect, and maintain our brand and other intellectual property rights. However, our efforts to establish, protect, and maintain our intellectual property rights in the United States or in foreign markets may not be sufficient or effective. Our proprietary technology and trade secrets could be lost through misappropriation or breach of our confidentiality and license agreements,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are substantially similar to ours and that compete with our business. For example, it is possible that third parties, including our competitors, may obtain patents relating to technologies that overlap or compete with our technology. If third parties obtain patent protection with respect to such technologies, they may assert that our technology infringes their patents and seek to charge us a licensing fee or otherwise preclude the use of our technology.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rely in part on trade secrets, proprietary know-how and other confidential information to maintain our competitive position. We attempt to protect our intellectual property, technology and confidential information by requiring our employees and other third parties who develop intellectual property on our behalf to enter into confidentiality and invention assignment agreements. We also require third parties we share information with to enter into nondisclosure and confidentiality agreements or to be bound by professional, fiduciary, or other contractual obligations requiring the applicable third party to protect our trade secrets, proprietary know-how and other confidential information. However, we cannot guarantee that we have entered into such agreements with each party who has developed intellectual property on our behalf and each party that has or may have had access to our confidential information, know-how or trade secrets. Further, these agreements do not prevent our competitors from independently developing technologies that are substantially equivalent or superior to our technology. These agreements may not be self-executing, may be insufficient or breached, may not effectively prevent disclosure of our proprietary information and trade secrets, and may not provide an adequate remedy in the event of unauthorized disclosure of such information or infringement or misappropriation of our intellectual property. In addition, trade secrets and know-how can be difficult to protect and some courts inside and outside the U.S. are less willing or unwilling to protect trade secrets and know-how. The loss of trade secret protection could make it easier for third parties to compete with our products and services by copying functionality. Individuals not subject to invention assignment agreements may claim ownership to our current and future intellectual property, and, to the extent that our employees, independent contractors or other third parties with whom we do business use intellectual property owned by others in their work for us, disputes may arise.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intellectual property protection may not be available to us in every country in which our products and services are available, and the laws of such countries may not protect intellectual property and proprietary rights to the same extent as the laws of the U.S. For example, some foreign countries have compulsory licensing laws under which a patent owner must grant licenses to third parties and many countries limit the enforceability of patents against certain third parties, including government agencies or government contractors. In these countries, patents may provide limited or no benefit. Legal standards relating to the validity, enforceability and scope of protection of intellectual property rights are uncertain and any changes in, or unexpected interpretations of, intellectual property laws may compromise our ability to enforce our trade secrets and intellectual property rights.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protection of our intellectual property may be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In some instances, patent applications or patents may be abandoned or allowed to lapse, resulting in partial or complete loss of patent rights in a relevant jurisdiction. We may also agree to license our patents to third parties as part of patent pools, open patent projects or pursuant to open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16840"/>
                <wp:effectExtent l="0" t="0" r="0" b="0"/>
                <wp:wrapNone/>
                <wp:docPr id="94" name="Frame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source software licenses. Those licenses may diminish our ability, though, to counter-assert our patents against certain parties that may bring claims against 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long-term success will depend to some degree on our ability to protect the proprietary technology that we have developed or may develop or acquire in the future. While our patents may offer some protection, our intellectual property rights may not be sufficiently comprehensive to prevent our competitors from developing similar competitive products. Despite our efforts, unauthorized third parties, including competitors, may duplicate, mimic, reverse engineer, access, obtain, or use the proprietary aspects of our technology, processes, products, or services without our permission. Our competitors and other third parties may also design around or independently develop similar technology, or otherwise duplicate or mimic our services or products, such that we may not be able to successfully assert our intellectual property or other proprietary rights against them. Measures we have put in place may not prevent misappropriation, infringement, or other violations of our intellectual property or proprietary information, resulting in a loss of competitive advantage. Although we may pursue anyone whom we reasonably believe is infringing upon our intellectual property rights, initiating and maintaining suits against third parties requires substantial financial resources and may not succeed. While in some cases a third party may agree to indemnify us for costs associated with intellectual property-related litigation, there is a risk that such a third party could refuse or be unable to fulfill its obligations. Our insurance coverage may also not adequately cover claims of this type, or may not apply at all, potentially requiring us to pay significant monetary damages. Any of our enforcement efforts may be met with defenses, counterclaims, and countersuits attacking the validity and enforceability of our intellectual property rights. If such defenses or counterclaims are successful, we could lose valuable intellectual property rights. In addition, the significant amount of discovery required in intellectual property litigation could lead to the disclosure of our confidential information. Regardless of the outcome, enforcing our rights may result in costly and time-consuming litigation, potentially harming our business and competitive 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be sued by third parties in the future for alleged infringement of their trademark, patent, and other intellectual and other proprietary rights.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recent years, there has been considerable patent, copyright, trademark, domain name, trade secret and other intellectual property development activity in the digital asset industry, as well as litigation, based on allegations of infringement or other violations of intellectual property, including by large financial institutions. Furthermore, individuals and groups can purchase patents and other intellectual property assets for the purpose of making claims of infringement to extract settlements from companies like ours. Our use of third-party intellectual property rights also may be subject to claims of infringement or misappropriation. We cannot guarantee that NFTs that were previously sold on Nifty Gateway, or our internally developed or acquired technologies and content did not, do not or will not infringe the intellectual property rights of others. Meme coins listed on one or more of our exchanges may incorporate names or images that infringe on the intellectual property rights of others. From time to time, our competitors or other third parties may claim that we are infringing upon or misappropriating their intellectual property rights, and we may be found to be infringing upon such rights. Any claims or litigation could cause us to incur significant expenses and, if successfully asserted against us, could require that we pay substantial damages or ongoing royalty payments, prevent us from offering our products or services or using certain technologies, force us to implement expensive workarounds, or impose other unfavorable circumstances. We expect that the occurrence of infringement claims is likely to grow as the digital asset market grows and matures. Accordingly, as our business grows, our exposure to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by us or news coverage of any such litigation as negative, the market price of our Class A common stock may decline. Even if intellectual property infringement or misappropriation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16840"/>
                <wp:effectExtent l="0" t="0" r="0" b="0"/>
                <wp:wrapNone/>
                <wp:docPr id="95" name="Frame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NFTs previously sold on Nifty Gateway may infringe on or otherwise violate the intellectual property rights of others, including possible copyright and trademark infringement.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announced the wind down of Nifty Gateway in January 2026, NFTs that were supported by Nifty Gateway may continue to raise various intellectual property law considerations, including adequacy and scope of assignment, licensing, transfer, copyright, and other right of use issues. The creator of an NFT will often have all rights to the content of the NFT and can determine what rights to assign to a buyer, such as the right to display, modify, or copy the content. Risks associated with purchasing or selling NFTs, include, among other things, the risk of purchasing counterfeit items or items alleged to be counterfeit, mislabeled items, items that are vulnerable to metadata decay, items on smart contracts with bugs, items related to content that infringes intellectual property rights, and items that may become untransferable. To the extent that, despite our screening procedures for NFTs that were supported on Nifty Gateway that were designed to prevent such issues, we are directly or indirectly involved in a dispute between Nifty Gateway's former creators and buyers, it could harm our business, reputation,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platform contains third-party open source software components, and failure to comply with the terms of the underlying open source software licenses could harm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platform contains software modules licensed to us by third-party authors under “open source” licenses. We also make certain of our own software available to users for free under various open source licenses.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platform.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Some open source licenses contain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This would allow our competitors to create similar offerings with lower development effort and time and ultimately could result in a loss of our competitive advantages.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of the risks associated with the use of open source software cannot be eliminated. For instance, open source software is often developed by different groups of programmers that collaborate with each other on projects and are beyond our control. As a result, open source software may have security vulnerabilities, defects, or errors of which we are not aware. Even if we become aware of any security vulnerabilities, defects, or errors, it may take a significant amount of time for either us or the programmers who developed the open source software to address such vulnerabilities, defects, or errors. Such a delay could negatively impact our products and services, including by adversely affecting the market’s perception of our products and services, impairing the functionality of our products and services, delaying the launch of new products and services, or resulting in the failure of our products and services, any of which could result in liability to us, our vendors and service providers. Further, our adoption of certain policies with respect to the use of open source software may affect our ability to hire and retain employees, including engineers.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assure you that our processes for controlling our use of open source software in our platform are, or will be, effective. If we are held to have breached or failed to fully comply with all the terms and conditions of an open source software license, we could face litigation, infringement or other liability, or be required to seek costly licenses from third parties to continue providing our offerings on terms that are not economically feasible, to re-engineer our platform, to discontinue or delay the provision of our offerings if re-engineering could not be accomplished on a timely basis or to make generally available, in source code form, our proprietary code, any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16840"/>
                <wp:effectExtent l="0" t="0" r="0" b="0"/>
                <wp:wrapNone/>
                <wp:docPr id="96" name="Frame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which could adversely affect our business, operating results, and financial condition. Moreover, the terms of many open source licenses have not been interpreted by U.S. or non-U.S. courts. As a result, there is a risk that these licenses could be construed in a way that could impose unanticipated conditions or restrictions on our ability to provide or distribute our platform. From time to time, there have been claims challenging the ownership of open source software against companies that incorporate open source software into their solutions. As a result, we could be subject to lawsuits by parties claiming ownership of what we believe to be licensed to us free of charge as open source software.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Our Employees and Other Service Providers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loss of one or more of our key personnel, or our failure to attract and retain other highly qualified personnel in the future, could adversely impact our business,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operate in a relatively new industry that is not widely understood and requires highly skilled and technical personnel. We believe that our future success is highly dependent on the talents and contributions of our senior management team, including in particular Tyler and Cameron Winklevoss, and other key employees across product, engineering, risk management, finance, compliance and legal, and marketing. Our future success depends on our ability to attract, develop, motivate, and retain highly qualified and skilled employees. Due to the nascent nature of digital assets, the pool of qualified talent is extremely limited, particularly with respect to executive talent, engineering, risk management, and financial regulatory expertise. We face intense competition for qualified individuals from numerous software and technology companies. To attract and retain key personnel, we incur significant costs, including salaries and benefits and equity incentives. Even so, these measures may not be enough to attract and retain the personnel we require to operate our business effectively. The loss of even a few key employees, or an inability to attract, retain and motivate additional highly skilled employees required for the growth of our business could adversely impact our operating results and impair our ability to grow.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have recently experienced senior management turnover, and our management team has limited experience operating as a public company.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team does not have significant experience operating publicly traded companies, and has limited experience interacting with public company investors, and complying with the increasingly complex laws pertaining to public companies. In addition, on February 17, 2026, we parted ways with our Chief Financial Officer, Chief Legal Officer, and Chief Operating Officer and appointed a new Interim Chief Financial Officer and Interim General Counsel as of that date. These leadership changes, together with our limited public company operating experience, may make it more difficult for us to manage our public company reporting, legal and regulatory obligations, investor communications and other functions necessary to operate as a public company. In addition, the transition of responsibilities among senior management may divert management's attention from the operation of our business. If we are unable to manage this transition effectively, our business, operating results, and financial condition could be adversely affected.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try to foster a high-performance culture, and if we cannot maintain this culture, our business could be adversely impacted.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a key contributor to our success is our culture. We prioritize curiosity and continuous learning, encouraging team members to push boundaries while maintaining our commitment to regulatory compliance and risk management. Our current talent pool is comprised of professionals from leading technology and financial institutions, providing the comprehensive skill set needed to drive innovation in the cryptoeconomy. We believe our team’s track record of building scalable, distributed software systems, navigating complex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16840"/>
                <wp:effectExtent l="0" t="0" r="0" b="0"/>
                <wp:wrapNone/>
                <wp:docPr id="97" name="Frame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environments, and delivering innovative products positions us for continued growth. If we cannot maintain this culture in the future, our business may be adversely impacted.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 the event of employee or service provider misconduct or error, our business may be adversely impacted.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Employee or service provider misconduct or error could subject us to legal liability, financial losses, and regulatory sanctions and could seriously harm our reputation and negatively affect our business. Such misconduct could include engaging in improper or unauthorized transactions or activities, misappropriation of user funds, insider trading and misappropriation of information, failing to supervise other employees or service providers, improperly using confidential information, as well as improper trading activity such as spoofing, layering, wash trading, manipulation and front-running. Employee or service provider errors, including mistakes in executing, recording, or processing transactions for users, could expose us to the risk of material losses even if the errors are detected. Although we have implemented processes and procedures and provided trainings to our employees to reduce the likelihood of misconduct and error, these efforts may not be successful. Moreover, the risk of employee or service provider error or misconduct may be even greater for novel products and services and is compounded by the fact that many of our employees and service providers are accustomed to working at tech companies which generally do not maintain the same compliance customs and rules as financial services firms. It is not always possible to deter misconduct, and the precautions we take to prevent and detect this activity may not be effective in all cases. If we were found to have not met our regulatory oversight and compliance and other obligations, we could be subject to regulatory sanctions, financial penalties, restrictions on our activities for failure to properly identify, monitor and respond to potentially problematic activity and damage our reputation. Our employees, contractors, and agents could also commit errors that subject us to financial claims for negligence, as well as regulatory actions, or result in financial liability. Further, allegations by regulatory or criminal authorities of improper trading activities could affect our brand and reputation.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officers, directors, employees, and large stockholders may encounter potential conflicts of interests with respect to their positions or interests in certain digital assets, entities, and other initiatives, which could adversely affect our business and reputation.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engage in a variety of transactions and maintain relationships with a number of digital asset projects, their developers, members of their ecosystem, and investors. It is possible that these transactions and relationships could create potential conflicts of interests in management decisions that we make. For instance, certain of our officers, directors, and employees are active investors in digital asset projects themselves, and may make investment decisions that favor projects that they have personally invested in. Many of our other stockholders also make investments in these digital asset projects. In addition, our co-founders are involved in a number of initiatives related to digital assets and frequently make investments in companies involved in digital assets and blockchain networks. This and other initiatives they are involved in could divert their time and attention from overseeing our business operations which could have a negative impact on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Similarly, certain of our directors, officers, employees, and large stockholders may hold digital assets that we are considering supporting for trading on our platform, and may be more supportive of such listing notwithstanding legal, regulatory, and other issues associated with such digital assets. We maintain a Digital Assets Trading Policy that prohibits trading in digital assets based on material nonpublic information and we have also adopted a Code of Business Conduct and Ethics that addresses self-dealing and other potential conflicts of interests. In addition, our Listing, Issuing, and Custody Policy places responsibility on our compliance team to identify potential conflicts of interest related to the listing, issuing, and custody of digital assets, which are reviewed by our Legal Team to assess materiality and determine whether recusal, disclosure, or other action is appropriate. While we have instituted policies and procedures to limit and mitigate such risks, there is no assurance that such policies and procedures will be effective, or that we will be able to manage such conflicts of interests adequately. If we fail to manage these conflicts of interests, or we receive unfavorable media coverage with respect to actual or perceived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16840"/>
                <wp:effectExtent l="0" t="0" r="0" b="0"/>
                <wp:wrapNone/>
                <wp:docPr id="98" name="Frame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conflicts of interest, our business may be harmed and the brand, reputation and credibility of our company may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 substantial number of our employees work remotely, and others work remotely some of the time. This subjects us to heightened operational risks.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of our employees and service providers work from home. This subjects us to heightened operational risks. For example, technologies in our employees’ and service providers’ homes may not be as robust as in our offices and could cause the networks, information systems, applications, and other tools available to employees and service providers to be more limited or less reliable than in our offices. Further, the security systems in place at our employees’ and service providers’ homes may be less secure than those used in our offices. While we have implemented technical and administrative safeguards to help protect our systems as our employees and service providers work from home, we may be subject to increased cybersecurity risk, which could expose us to risks of data or financial loss, and could disrupt our business operations. There is no guarantee that the data security and privacy safeguards we have put in place will be completely effective or that we will not encounter risks associated with employees and service providers accessing company data and systems remotely.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Ownership of Our Class A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market price of our Class A common stock may be volatile, and could decline significantly and rapidly. Market volatility may affect the value of an investment in our Class A common stock and could subject us to litigation.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could be highly volatile and may fluctuate substantially as a result of many factors,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number of shares of our Class A common stock publicly owned and available for trading;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overall performance of the equity markets or publicly-listed financial services and technology companies and, in particular, companies in the digital assets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actual or anticipated operating performance and the operating performance of our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operational and financial results we provide to the public or our failure to meet those projections;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of securities analysts to initiate or maintain coverage of us, changes in financial estimates by any securities analysts who follow our company, or our failure to meet the estimates or the expectations of investors;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major change in our board of directors, management, or key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issue additional shares of capital stock;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announcements by us or our competitors of significant innovations, new products, services, features, integrations or capabilities, acquisitions, strategic investments, partnerships, or joint ventures;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events or factors, including those resulting from epidemics, pandemics, war, incidents of terrorism, or responses to these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16840"/>
                <wp:effectExtent l="0" t="0" r="0" b="0"/>
                <wp:wrapNone/>
                <wp:docPr id="99" name="Frame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addition, the stock markets have experienced extreme price and volume fluctuations. Broad market and industry factors may materially harm or otherwise influence the market price of our Class A common stock, regardless of our operating performance. For example, and in common with certain other public companies within the digital assets industry, our stock may be attractive to hedge or day-trading investors who often shift funds into and out of stocks rapidly, exacerbating price fluctuations in either direction. The market prices for digital asset companies have experienced significant volatility in recent periods, including both price and volume fluctuations, that often has been unrelated or disproportionate to the operating performance of such companies. If these trends were to impact us, the trading price of our Class A common stock may from time to time reflect market dynamics that are not connected to traditional valuation methods that might otherwise be associated with an operating company with a business model such as ours. Investors may therefore be unable to assess the value of our Class A common stock or evaluate the risks of an investment in us using traditional or commonly used enterprise valuation methods. We cannot predict the extent to which these dynamics will develop, how they may evolve over time, or whether or how long they may last. In the past, following periods of volatility in the market price of a company’s securities, securities class action litigation has often been instituted against that company. We are currently subject to a purported class action litigation as described in </w:t>
      </w:r>
      <w:r>
        <w:rPr>
          <w:rFonts w:ascii="Times New Roman;serif" w:hAnsi="Times New Roman;serif"/>
          <w:b w:val="false"/>
          <w:i/>
          <w:color w:val="000000"/>
          <w:sz w:val="20"/>
        </w:rPr>
        <w:t xml:space="preserve">Note 23. Subsequent Events </w:t>
      </w:r>
      <w:r>
        <w:rPr>
          <w:rFonts w:ascii="Times New Roman;serif" w:hAnsi="Times New Roman;serif"/>
          <w:b w:val="false"/>
          <w:color w:val="000000"/>
          <w:sz w:val="20"/>
        </w:rPr>
        <w:t>to our audited consolidated financial statements included elsewhere in this Annual Report on Form 10-K, and may continue to be the target of this type of litigation in the future. Securities litigation against us could result in substantial costs and divert our management’s attention from other business concerns, which could harm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not obligated to, and do not intend to pay dividends or make other distributions with respect to any class of our common stock for the foreseeable future.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intend to retain all of our available funds and earnings to fund the development and growth of our business. As a result, we do not expect to pay any cash dividends or make any other distributions in the foreseeable future. Consequently, investors of our Class A common stock may be unable to realize a gain on their investment except by selling such shares after price appreciation, which may never occur.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significant discretion as to whether to make distributions. Even if our board of directors decides to declare and pay dividends or make other distributions, the timing, amount and form of future dividends or other distributions, if any, will depend on, among other things, our future results of operations and cash flow, applicable limitations under Nevada law, our financial condition and other factors deemed relevant by our board of directors. Because we are a holding company, our ability to pay dividends also depends on our receipt of cash dividends from our operating subsidiaries, which may be restricted in their ability to pay dividends as a result of the laws of their respective jurisdictions of organization, agreements of our subsidiaries or covenants under any existing and future outstanding indebtedness we or our subsidiaries incur.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Substantial future sales of shares of our common stock by existing stockholders, or the perception that those sales may occur, could cause the market price of our Class A common stock to decline.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Class A common stock in the public market, or the perception that such sales may occur, could depress the market price of our Class A common stock. Issuing additional shares of our Class A common stock or other equity securities or securities convertible into equity may dilute the economic and voting rights of our existing stockholders or reduce the market price of our Class A common stock or both.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restrictions on resale end, including related to lockup agreements executed in connection with our IPO, the market price of our Class A common stock could drop significantly if the holders of such shares sell them or are perceived by the market as intending to sell them. These factors could also make it more difficult for us to raise additional funds through future offerings of our common stock or other securities.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16840"/>
                <wp:effectExtent l="0" t="0" r="0" b="0"/>
                <wp:wrapNone/>
                <wp:docPr id="100" name="Frame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securities or industry analysts cease publishing research, or publish inaccurate or unfavorable research, about our business or our industry, the price of our Class A common stock and its liquidity could decline.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Class A common stock depends in part on the research and reports that securities or industry analysts publish about us, our business, or our industry. We do not have control over these analysts. If securities or industry analysts downgrade our Class A common stock or publish negative reports about our business, the price of our Class A common stock could decline. If one or more of these analysts cease coverage of us or fail to publish reports on us regularly, demand for our Class A common stock could decrease, which could cause the price or trading volume of our Class A common stock to decline.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You may be diluted by the future issuance of common stock, preferred stock, or securities convertible or exchangeable into common or preferred stock, in connection with our incentive plans, acquisitions, capital raises, or otherwise.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future, we may sell Class A common stock, convertible securities, or other equity securities, including preferred securities, in one or more transactions at prices and in a manner we determine from time to time. We also expect to issue Class A common stock to employees and directors pursuant to the our Equity Plan and ESPP. If we sell Class A common stock, convertible securities, or other equity securities in subsequent transactions, or common stock is issued pursuant to equity incentive plans, stockholders may be materially diluted. New investors in subsequent transactions could gain rights, preferences, and privileges senior to those of holders of our Class A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Anti-takeover provisions in our organizational documents and Nevada law might discourage or delay attempts to acquire us that you might consider favorable.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provisions of our amended and restated articles of incorporation, amended and restated bylaws, and Nevada law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anti-takeover provisions could make it more difficult for a third party to acquire us, even if many of our stockholders are in favor of the third party’s offer. These provisions also may have the effect of preventing changes in our board of directors and may make it more difficult to accomplish transactions that stockholders may otherwise deem to be in their best interests. As a result, our stockholders may be limited in their ability to obtain a premium for their shares or control our management or board.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amended and restated articles of incorporation provides that the Eighth Judicial District Court of Clark County, Nevada (or if such court does not have jurisdiction, another state or the federal courts (as appropriate) located within the State of Nevada) is the sole and exclusive forum, and provide for a limited waiver of trial by jury, for certain stockholder litigation matters, which could limit our stockholders’ ability to obtain a favorable judicial forum for disputes with us or our directors, officers, employees, or stockholders.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articles of incorporation provides that, unless we consent in writing to the selection of an alternative forum, to the fullest extent permitted by law, the Eighth Judicial District Court of the State of Nevada sitting in Clark County, Nevada, is the sole and exclusive forum for any actions, suits or proceedings, whether civil, administrative or investigative, (a) brought in the name or right of us or on our behalf, (b) asserting a claim for breach of any fiduciary duty owed by any current or former director, officer, stockholder, employee, or agent or fiduciary of us to us or our stockholders, (c) for any internal action (as defined in NRS 78.046), including any action asserting a claim against us arising pursuant to any provision of NRS Chapters 78 or 92A, our amended and restated articles of incorporation or our amended and restated bylaws, any agreement entered into pursuant to NRS 78.365 or as to which the NRS confers jurisdiction on the district court of the State of Nevada, (d) to interpret, apply, enforce or determine the validity of our amended and restated articles of incorporation or our amended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16840"/>
                <wp:effectExtent l="0" t="0" r="0" b="0"/>
                <wp:wrapNone/>
                <wp:docPr id="101" name="Frame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restated bylaws, or (e) asserting a claim governed by the internal affairs doctrine; provided that such exclusive forum provisions will not apply to suits brought to enforce any liability or duty created by the Securities Exchange Act of 1934 (“Exchange Act”) or any other claim for which the U.S. federal courts have exclusive jurisdiction.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 our amended and restated articles of incorporation provides that, in the event that the Eighth Judicial District Court of Clark County, Nevada does not have jurisdiction over any such action, suit or proceeding, then any other state district court located in the State of Nevada will be the sole and exclusive forum and, in the event that no state district court in the State of Nevada has jurisdiction over any such action, suit or proceeding, then a federal district court of the United States located within the State of Nevada will be the sole and exclusive forum. Unless we consent otherwise to the selection of an alternative forum, the federal district courts of the United States will be the sole and exclusive forum for the resolution of any claim asserting a cause of action arising under the Securities Act, against any person in connection with any offering of the our securities. However,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amended and restated articles of incorporation further provides that, to the fullest extent not inconsistent with any applicable U.S. federal laws (including the Securities Act and the Exchange Act), any and all “internal actions” (as defined in NRS 78.046) must be tried in a court of competent jurisdiction (subject to the exclusive forum provisions in our amended and restated articles of incorporation) before the presiding judge as the trier of fact and not before a jury. Pursuant to NRS 78.046 (as amended effective May 30, 2025, pursuant to Assembly Bill No. 239), such requirement will conclusively operate as a waiver of the right to trial by jury by each party to any such “internal action,” but not to the extent any such waiver would be inconsistent with or prohibited under the federal securities laws (including the Securities Act and the Exchange Act) and the rules and regulations thereunder. Under NRS 78.046, the limited waiver of trial by jury is only intended to apply to “internal actions” brought in state courts in the State of Nevada and does not limit or otherwise affect any right to a jury trial in any other action, suit or proceeding (including in state courts outside of Nevada and U.S. federal courts). Therefore, the limited waiver of trial by jury will not apply to claims brought under the Exchange Act, which are subject to exclusive federal jurisdiction, and will only apply to Securities Act claims if such claims are properly brought in state courts in the State of Nevada and constitute an “internal action” under NRS 78.046.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fullest extent permitted by applicable law, any person or entity purchasing or otherwise acquiring any interest in shares of our capital stock shall be deemed to have notice of and consented to the forum and limited jury waiver provisions in our amended and restated articles of incorporation, except our stockholders will not be deemed to have waived (and cannot waive) compliance with the federal securities laws (including the Securities Act and the Exchange Act) and the rules and regulations thereunder. These choice of forum and jury waiver provisions, to the extent applicable and enforceable, may limit a stockholder’s ability to bring a claim in a judicial forum, even if such stockholder may believe such different forum or trial by jury to be favorable or convenient for disputes with us or any of our current or former directors, officers, other employees, or stockholders which may discourage lawsuits with respect to such claims. Alternatively, if a court were to find these provisions contained in our amended and restated articles of incorporation to be inapplicable or unenforceable in an action, we may incur additional costs associated with resolving such action in other jurisdictions or before a jury, which could harm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Limitations on director and officer liability and our indemnification of our directors and officers may discourage stockholders from bringing suit against a director or officer.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Nevada law provides that our directors and officers will not be individually liable to us or our stockholders or creditors for damages as a result of any act or failure to act in his or her capacity as a director or officer unless (i) the statutory presumption in his or her favor established by NRS 78.138(3) is rebutted, (ii) the act or failure to act constituted a breach of his or her fiduciary duties as a director or officer, and (iii) such breach involved intentional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16840"/>
                <wp:effectExtent l="0" t="0" r="0" b="0"/>
                <wp:wrapNone/>
                <wp:docPr id="102" name="Frame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misconduct, fraud or a knowing violation of law. These provisions may discourage stockholders from bringing suit against a director or officer for breach of fiduciary duty and may reduce the likelihood of derivative litigation brought by stockholders on our behalf against a director or officer. In addition, our amended and restated articles of incorporation and amended and restated bylaws require indemnification of directors and officers to the fullest extent permitted by Nevada law.</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co-founders control a majority of the voting power of shares eligible to vote in the election of our directors and on other matters submitted to a vote of our stockholders, and their interests may conflict with ours or yours in the future.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co-founders control the majority of the voting power of our outstanding common stock through their affiliates and consequently hold significant influence over the election of our directors and other matters submitted to a vote of our stockholders. For so long as our co-founders continue to beneficially own a significant percentage of our common stock through their affiliates, they will be able to influence the composition of our board of directors and the approval of actions requiring stockholder approval in ways that may conflict with the interests of us or our other stockholders. Accordingly, for such period of time, our co-founders will have significant influence with respect to our management, business plans, and policies, including the appointment and removal of our officers. In particular, our co-founders may be able to cause or prevent a change of control of us or a change in composition of our board of directors and could preclude any unsolicited acquisition of us. The concentration of voting power could deprive you of an opportunity to receive a premium for your shares of Class A common stock as part of the sale of the company and ultimately might affect the market price of our Class A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multiple class structure of our common stock may adversely affect the trading market for our Class A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cannot predict whether our multiple class structure of our common stock with different voting rights will result in a lower or more volatile market price of our Class A common stock, adverse publicity, or other adverse consequences. Certain index providers have announced restrictions on including companies with multiple class share structures in certain of their indices. Because of our multiple class structure, we may be excluded from these indices and other stock indices that take similar actions. Given the sustained flow of investment funds into passive strategies that seek to track certain indices, exclusion from certain stock indices would likely preclude investment by many of these funds and could make our Class A common stock less attractive to investors. In addition, several stockholder advisory firms have announced their opposition to the use of multiple class structures and our multiple class structure may cause stockholders advisory firms to publish negative commentary about our corporate governance, in which case the market price and liquidity of our Class A common stock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a “controlled company” as defined under the corporate governance rules of Nasdaq and, as a result, qualify for exemptions from certain corporate governance requirements of Nasdaq.</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co-founders control a majority of our voting power. As a result, we are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those that would otherwise require our board of directors to establish a compensation committee and nominating committee comprised entirely of independent directors. While we have a compensation committee and a nomination committee, as a controlled company neither of these committees is composed entirely of independent directors. As such, you do not have the same protections afforded to stockholders of companies that are subject to all of Nasdaq’s rules.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qualify as an emerging growth company, and any decision on our part to comply with reduced reporting and disclosure requirements applicable to emerging growth companies could make our common stock less attractive to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16840"/>
                <wp:effectExtent l="0" t="0" r="0" b="0"/>
                <wp:wrapNone/>
                <wp:docPr id="103" name="Frame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and, for as long as we continue to be an emerging growth company, we currently intend to take advantage of exemptions from various reporting requirements applicable to other public companies but not to “emerging growth companies,” including, but not limited to, not being required to have our independent registered public accounting firm audit our internal control over financial reporting under Section 404 of the Sarbanes-Oxley Act, reduced disclosure obligations regarding executive compensation in our registration statements, periodic reports and proxy statements and exemptions from the requirements of holding a nonbinding advisory vote on executive compensation and stockholder approval of any golden parachute payments not previously approved. We will cease to be an emerging growth company upon the earliest of: (i) the last day of the fiscal year in which we have total annual gross revenues of $1.235 billion or more; (ii) December 31, 2030; (iii) the date on which we have issued more than $1.0 billion in nonconvertible debt during the previous three years; and (iv) the date on which we are deemed to be a large accelerated filer under the rules of the SEC.</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cannot predict whether investors will find our Class A common stock less attractive if we choose to rely on these exemptions while we are an emerging growth company. Under the JOBS Act, emerging growth companies can also delay adopting new or revised accounting standards until such time as those standards apply to private companies. We have elected to avail ourselves of this extended transition period and, as a result, we will not be required to adopt new or revised accounting standards on the relevant dates on which adoption of such standards is required for other public companies.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our estimates or judgment relating to our critical accounting estimates prove to be incorrect, our operating results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w:t>
      </w:r>
      <w:r>
        <w:rPr>
          <w:rFonts w:ascii="Times New Roman;serif" w:hAnsi="Times New Roman;serif"/>
          <w:b w:val="false"/>
          <w:i/>
          <w:color w:val="000000"/>
          <w:sz w:val="20"/>
        </w:rPr>
        <w:t>Management’s Discussion and Analysis of Financial Condition and Results of Operations—Critical Accounting Policies and Estimates</w:t>
      </w:r>
      <w:r>
        <w:rPr>
          <w:rFonts w:ascii="Times New Roman;serif" w:hAnsi="Times New Roman;serif"/>
          <w:b w:val="false"/>
          <w:color w:val="000000"/>
          <w:sz w:val="20"/>
        </w:rPr>
        <w:t>.” The results of these estimates form the basis for making judgments about the carrying values of assets, liabilities, and equity, and the amount of revenue and expenses that are not readily apparent from other sources. Significant estimates and judgments involve the identification of performance obligations in revenue recognition, evaluation of tax positions, inter-company transactions, and the valuation of stock-based awards and digital assets we hold, among others. Our operating results may be adversely affected if our assumptions change or if actual circumstances differ from those in our assumptions, which could cause our operating results to fall below the expectations of analysts and investors, resulting in a decline in the trading price of our Class A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might require additional capital to support business growth, and this capital might not be available.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funded our operations since inception primarily through equity financings, debt, and revenue generated by our product and service offerings. We cannot be certain when or if our operations will generate sufficient cash to fully fund our ongoing operations or the growth of our business. We intend to continue to make investments in our business, including developing new products and services, enhancing our operating infrastructure, expanding our international operations, and acquiring complementary businesses and technologies, all of which may require us to secure additional funds. Additional financing may not be available on terms favorable to us, if at all. If we incur additional debt, the debt holders would have rights senior to holders of our common stock to make claims on our assets, and the terms of any debt could restrict our operations, including our ability to pay dividends on or make other distributions with respect to our common stock. Furthermore, our amended and restated articles of incorporation authorize the issuance of “blank check” preferred stock that our board of directors could use to, among other things, issue shares of our capital stock or implement a stockholder rights plan. We may issue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16840"/>
                <wp:effectExtent l="0" t="0" r="0" b="0"/>
                <wp:wrapNone/>
                <wp:docPr id="104" name="Frame9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capital stock to our users in connection with user reward or loyalty programs. If we issue additional equity securities, stockholders will experience dilution, and the newly issued securities could gain rights, preferences, and privileges senior to those of holders of our Class A common stock. The trading price for our Class A common stock may be highly volatile, which may reduce our ability to access capital on favorable terms or at all. In addition, a slowdown or other sustained adverse downturn in the general economic or digital asset markets could adversely affect our business and the trading price of our Class A common stock. Because our decision to raise capital in the future will depend on numerous considerations, including factors beyond our control, we cannot predict or estimate the amount, timing, or nature of any future issuances of securities. As a result, our stockholders bear the risk of future issuances of convertible debt or equity securities reducing the trading price of our Class A common stock and diluting their interests. Our inability to obtain adequate financing or financing on terms satisfactory to us, when we require it, could significantly limit our ability to continue supporting our business growth and responding to business challenges.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have historically relied on related party financing and we may not be able to secure comparable financing in the future.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addition to equity financings and revenue generated by our product and service offerings, we have historically relied on related party loans, primarily from Winklevoss Capital Fund, LLC (“WCF”), to fund certain aspects of our business. While we expect to reduce our reliance on related party financing as an ongoing source of new funding for the business, a portion of our related party indebtedness remains outstanding and we may in the future enter into related party transactions with WCF in connection with liquidity, capital, or operational needs. As of December 31, 2025, we had borrowed an aggregate of 133,430 ETH and 11,326 BTC from WCF pursuant to a series of lending agreements entered into since December 2022. These loans have been used to support general operations and to satisfy capital reserve and margin requirements under the NYDIG MRA, the Galaxy Lending Agreement and certain regulatory obligations. As of December 31, 2025, repayment obligations in respect of 0 ETH and 4,619 BTC remained outstanding under these agreements. These loans bear fees ranging from 4% to 8% per annum and, for the years ended December 31, 2025 and 2024, we incurred approximately $24.2 million and $21.1 million, respectively, in loan fees under these agreements. These lending agreements with WCF do not contain affirmative or negative covenants and are prepayable at our option, with no fixed maturity date. However, WCF may require repayment at any time upon written notice. For more information on these lending agreements, see “</w:t>
      </w:r>
      <w:r>
        <w:rPr>
          <w:rFonts w:ascii="Times New Roman;serif" w:hAnsi="Times New Roman;serif"/>
          <w:b w:val="false"/>
          <w:i/>
          <w:color w:val="000000"/>
          <w:sz w:val="20"/>
        </w:rPr>
        <w:t>Management’s Discussion and Analysis of Financial Condition and Results of Operations—Liquidity and Capital Resources—Indebtedness and Other Funding Agreements—Lending Agreements.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these transactions have been a source of liquidity and capital for us historically, we cannot assure you whether WCF will continue to provide such financing, the extent to which we will continue to require similar financing arrangements to provide us with sufficient liquidity and capital, or that future loans, if any, will be made on the same or comparable terms, and we may be required to raise additional capital on less favorable terms. An interruption in related party financing could accordingly impair our ability to preserve sufficient operational and financial flexibility or fund growth, strategic, and development initiatives. Moreover, although we believe the terms of the WCF transactions are reasonable and in the best interests of the Company, and indicate our co-founders’ long-term commitment to the business, any perceived reliance on such related party transactions may be viewed negatively by investors, regulators, or potential business partners, or may raise concerns regarding actual or perceived conflicts of interest that could give rise to scrutiny, litigation, or reputational harm.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requirements of being a public company may strain our resources, divert management’s attention, and affect our ability to attract and retain executive management and qualified board members.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company we have incurred and will continue to incur significant legal, accounting, and other expenses that we did not incur as a private company. We are subject to reporting requirements of the Exchange Act, the Sarbanes-Oxley Act, the rules subsequently implemented by the SEC, the rules and regulations of the listing standards of Nasdaq, and other applicable securities rules and regulations. Stockholder activism, the current political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16840"/>
                <wp:effectExtent l="0" t="0" r="0" b="0"/>
                <wp:wrapNone/>
                <wp:docPr id="105" name="Frame9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social environment, and regulatory reform may lead to new regulations and disclosure obligations, which will likely result in additional compliance costs and could impact the manner in which we operate our business in ways we cannot currently anticipate. Compliance with these rules and regulations may strain our financial and management systems, internal controls, and employees.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have identified material weaknesses in our internal control over financial reporting. If we are unable to remediate these material weaknesses, experience additional material weaknesses in the future or otherwise fail to implement and maintain an effective system of internal controls, we may not be able to accurately or timely report our financial condition or operating results, which may adversely affect investor confidence in us and, as a result, the value of our Class A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public company with SEC reporting obligations, we are required to document and test our internal control procedures to satisfy the requirements of Section 404(a) of the Sarbanes-Oxley Act, which will require annual assessments by management of the effectiveness of our internal control over financial reporting beginning with our second annual report on Form 10-K. Although we are an emerging growth company, and thus we are exempt from the auditor attestation requirement of Section 404(b) of Sarbanes-Oxley until such time as we no longer qualify as an emerging growth company, we expect to incur significant expenses and devote substantial management effort toward ensuring compliance with the auditor attestation requirements of Section 404 of the Sarbanes-Oxley Act if we lose our status as an emerging growth company.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our IPO in 2025,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material weaknesses identified pertain to the following: (i) we did not maintain an effective control environment in that a sufficient number of personnel were not available to support an effective financial close process in a timely manner; (ii) we did not maintain an effective risk assessment process, which led to some improperly designed controls; (iii) we did not establish, thoroughly communicate, and monitor certain control processes and relevant accounting policies and procedures; (iv) controls over the digital asset reconciliation between our internal ledger and the public blockchain to address the existence, recording, and safeguarding of digital assets were not effectively designed and implemented and, therefore, did not operate effectively; and (v) we did not properly design and implement controls over the launch of new products, including controls over the reconciliation of digital assets held in corporate accounts and on behalf of customers. See Part II, Item 9A for further details.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concluded that these material weaknesses existed because, as a private company, we did not have the necessary business processes, systems, personnel, and related internal controls necessary to satisfy the accounting and financial reporting requirements of a public company. We have taken and will continue to take actions to remediate these material weaknesses, including hiring additional accounting and finance personnel with financial accounting, stock-based compensation, tax, and reporting expertise; increasing training and education in accounting and reporting requirements for a public company; designing and implementing processes, tools and internal controls over the financial statement close process; strengthening internal controls to align with the Committee of Sponsor Organizations framework and Internal Control over Financial Report standards; enhancing the review of journal entries and account reconciliations, including digital asset reconciliations; and retaining the services of third-party consultants to supplement our technical competencies and expertise.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will not be able to fully remediate these material weaknesses until these steps have been completed and have been operating effectively for a sufficient period of time. These remediation measures will be time-consuming and require financial and operational resources, and we cannot assure you that the measures we have taken to date, and actions we may take in the future, will be sufficient to remediate the control deficiencies that led to material weaknesses in our internal controls over financial reporting. Additionally, we cannot assure you that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16840"/>
                <wp:effectExtent l="0" t="0" r="0" b="0"/>
                <wp:wrapNone/>
                <wp:docPr id="106" name="Frame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identified all, or that we will not in the future have additional, material weaknesses. If one or more of the material weaknesses that we have identified, or any future material weaknesses, are not remediated, they could result in a material misstatement of our annual or interim financial statements that might not be prevented or detected and could also impair our ability to comply with applicable financial reporting requirements and related regulatory filings on a timely basis. Additionally, ineffective internal control over financial reporting could expose us to increased risk of fraud or misuse of corporate assets and subject us to potential delisting from the stock exchange on which we list. Material weaknesses may still exist when we report on the effectiveness of our internal control over financial reporting as required under Section 404 of the Sarbanes-Oxley Act. The process of designing and implementing internal control over financial reporting required to comply with the disclosure and attestation requirements of Section 404 of the Sarbanes-Oxley Act will be time consuming and costly. If we identify future material weaknesses in our internal control over financial reporting, if we are unable to comply with the requirements of Section 404 of the Sarbanes-Oxley Act in a timely manner, or if we are unable to assert that our internal control over financial reporting is effective, investors may lose confidence in the accuracy and completeness of our financial reports and the market price of our Class A common stock could decline, and we could also become subject to investigations by the SEC or other regulatory authorities, which could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be adversely affected by natural disasters, pandemics, and other catastrophic events, and by man-made problems such as terrorism, that could disrupt our business operations, and our business continuity and disaster recovery plans may not adequately protect us from a serious disaster.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Natural disasters or other catastrophic events may cause damage or disruption to our operations, international commerce, and the global economy, and could have an adverse effect on our business, operating results, and financial condition. Our business operations are subject to interruption by natural disasters, fire, power shortages, and other events beyond our control. In addition, our global operations expose us to risks associated with public health crises, such as pandemics and epidemics, which could harm our business and cause our operating results to suffer. Further, acts of terrorism, labor activism or unrest, and other geopolitical unrest (including an outbreak of armed conflict, such as the Russia-Ukraine and the Middle East conflicts) could cause disruptions in our business or the businesses of our partners or the economy as a whole. In the event of a natural disaster, including a major earthquake, blizzard, or hurricane, or a catastrophic event such as a fire, power loss, or telecommunications failure, we may be unable to continue our operations and may endure system interruptions, reputational harm, delays in development of our platform, lengthy interruptions in service, breaches of data security, and loss of critical data, all of which could have an adverse effect on our future operating results. We do not maintain insurance sufficient to compensate us for the potentially significant losses that could result from disruptions to our services. Additionally, all the aforementioned risks may be further increased if we do not implement a disaster recovery plan or our third-party partners’ disaster recovery plans prove to be inadequate. To the extent natural disasters or other catastrophic events concurrently impact data centers we rely on in connection with private key restoration, users will experience significant delays in withdrawing funds, or in the extreme, we may suffer loss of user funds.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Key business metrics and other estimates are subject to inherent challenges in measurement and to change as our business evolves, and our business, operating results, and financial condition could be adversely affected by real or perceived inaccuracies in those metrics or any changes in metrics we disclose.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regularly review key business metrics to evaluate growth trends, measure our performance, and make strategic decisions. These key business metrics are calculated using internal company data and have not been validated by an independent third party. While these metrics are based on what we believe to be reasonable estimates for the applicable period of measurement at the time of reporting, there are inherent challenges in such measurements. If we fail to maintain an effective analytics platform, our key business metrics calculations may be inaccurate, and we may not be able to identify those inaccuracies. Additionally, we have in the past and may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16840"/>
                <wp:effectExtent l="0" t="0" r="0" b="0"/>
                <wp:wrapNone/>
                <wp:docPr id="107" name="Frame1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calculate key business metrics using third-party data. While we believe the third-party data we have used in the past or may use in the future is reliable, we have not independently verified and may not in the future independently verify the accuracy or completeness of the data contained in such sources and there can be no assurance that such data is free of error. Any inaccuracy in the third-party data we use could cause us to overstate or understate our key business metrics. We regularly review our processes for calculating these metrics, and from time to time we make adjustments to improve their accuracy.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our MTU and LTU metrics are measured at a point in time and as our products and internal processes for calculating these metrics evolve over time, a previously reported number could fluctuate. Further, our MTU and LTU metrics may also overstate the number of unique users who have registered an account on our platform, as one user may register for, and use, multiple accounts with different email addresses, phone numbers, or usernames. If our metrics provide us with incorrect or incomplete information about users and their behavior, we may make inaccurate conclusions about our business. We regularly deactivate fraudulent and spam accounts that violate our terms of use and exclude these users from the calculation of our key business metrics; however, we may not succeed in identifying and removing all such accounts from our platform. We generally will not update previously disclosed key business metrics for any such inaccuracies or adjustments that are immaterial.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change our key business metrics from time to time, which may be perceived negatively. Given the rapid evolution of the digital asset markets and our revenue sources, we regularly evaluate whether our key business metrics remain meaningful indicators of the performance of our business. As a result of these evaluations, in the past we have decided to make changes, and in the future may make additional changes, to our key business metrics, including eliminating or replacing existing metrics.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 cybersecurity program designed to safeguard the confidentiality, integrity, and availability of our information systems and the information maintained on those systems, including information relating to customers, employees, partners, and third-party service providers. Our cybersecurity risk management program implements our defense-in-depth strategies to address cybersecurity risks across our business, including risks associated with operating a digital asset exchange and custody platform, and is integrated into our broader enterprise risk management framework, which incorporates a three line of defense model where business and operational teams own and manage risk as the first line of defense, dedicated risk and compliance functions provide independent oversight as the second line of defense, and internal audit provides independent assurance as the third line of defense.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program aligns with the National Institute of Standards and Technology Cybersecurity Framework (“NIST CSF”) and other applicable industry frameworks and operates through an information security management system that establishes governance, risk assessment, control implementation, monitoring, and continuous improvement. We maintain formal cybersecurity policies, procedures, standards, and processes to ensure a consistent, risk-based approach throughout our organization.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continuously monitor our computing environments, products, and services for vulnerabilities and signs of compromise, and we utilize our security products to combat cybersecurity threats. We integrate security into our computing environments, products, and services leveraging our Security Development principles and standards.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16840"/>
                <wp:effectExtent l="0" t="0" r="0" b="0"/>
                <wp:wrapNone/>
                <wp:docPr id="108" name="Frame1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Gemini engages external service providers, as appropriate, to support its cybersecurity program, including independent security assessments, testing, and vulnerability management.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cybersecurity program includes, but is not limited to, the following:</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1.An information security management system that governs risk assessment, control implementation, and monitoring.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2.Cybersecurity policies, procedures, standards, and processes supporting a consistent, risk-based approach.</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3.Periodic risk assessments and continuous monitoring to identify, evaluate, and address cybersecurity threats.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4.Administrative, technical, and physical safeguards to protect critical systems, digital asset custody infrastructure, customer-facing applications, and our broader IT environment, including, but not limited to, encryption of sensitive data in transit and at rest.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5.An incident response plan designed to support timely detection, assessment, containment, response, remediation, and reporting of incidents, including annual tabletop exercises.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6.Business continuity and operational resilience planning to support availability of critical services, including business impact analysis and disaster recovery testing.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7.Cybersecurity awareness training for employees and contractors during onboarding and on an ongoing basis.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8.Third-party and supply chain risk management processes, including initial vendor due diligence, on-going monitoring, ability to satisfy rigorous contractual obligations, inclusive of cybersecurity risk management standards and timely notification of cyber events.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the date of this Annual Report on Form 10-K, we have not identified any known cybersecurity threats or incidents that have materially affected, or are likely to materially affect, our business strategy, operations, or financial condition. Nevertheless, because cybersecurity threats evolve continuously, we cannot guarantee that future incidents will not occur or have material impacts. To understand our cybersecurity risks and their potential business impacts, please refer to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Part I, Item 1A of this Annual Report on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Cybersecurity Governance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oversight responsibilities inclusive of cybersecurity and technology risks as part of its overall supervisory activities and has delegated primary oversight of cybersecurity and information technology risks to the Audit and Risk Committee. The Audit and Risk Committee meets at least quarterly and receives periodic updates from management and the independent Risk Management and Internal Audit teams, including, but not limited to, updates on cybersecurity risk assessments, threat response preparedness, program maturity assessments, risk mitigation progress, and the current and emerging threat landscape.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interim-Chief Information Security Officer (“CISO”) reports directly to the Chief Executive Officer and is principally responsible for implementing our information security strategy and overseeing our cybersecurity risk management processes, inclusive of incident response planning. Our CISO leads a dedicated Security Team responsible for monitoring, detecting, and responding to cybersecurity threats. Our CISO’s experience includes over twenty years of working in the cybersecurity field in various industries, including the financial services industry.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16840"/>
                <wp:effectExtent l="0" t="0" r="0" b="0"/>
                <wp:wrapNone/>
                <wp:docPr id="109" name="Frame1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an independent Risk Management team responsible for identifying, assessing, responding to, and communicating risks related to our products and operations, including cybersecurity risks, to senior management, the Audit and Risk Committee, and the Board of Directors. The Risk Management team conducts risk assessments for new products, services, processes, and digital assets, and the results of independent audits are presented to the appropriate board committees. These processes are designed to support timely oversight and informed decision-making regarding cybersecurity risk management and disclosure considerations. In addition, the independent Internal Audit team performs risk-based internal audits over the cybersecurity program that test the design and operating effectiveness of key controls. Results, including any issues identified and associated remediation activities, are reported to senior management and the Audit and Risk Committee.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principal executive office is located in New York, New York. In addition to our New York office, we have additional offices located in the United States and internationally, including in Miami and Singapore. We lease or rent each of our offices.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institute a hybrid mode of work that allows a combination of remote work and work from the office tailored to the needs and circumstances of each office and team. We believe that our facilities are adequate to meet our current needs, and that, should we need additional physical office space, suitable additional space will be available in the future.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From time to time, we may be subject to various legal proceedings and claims that arise in the ordinary course of our business activities. The results of litigation and claims cannot be predicted with certainty. Refer to “</w:t>
      </w:r>
      <w:r>
        <w:rPr>
          <w:rFonts w:ascii="Times New Roman;serif" w:hAnsi="Times New Roman;serif"/>
          <w:b w:val="false"/>
          <w:i/>
          <w:color w:val="000000"/>
          <w:sz w:val="20"/>
        </w:rPr>
        <w:t>Risk Factors—Risks Relating to Our Business and Industry—We are, and may continue to be, subject to material litigation, including individual and class action lawsuits, as well as investigations and enforcement actions by regulators and governmental authorities. These matters are often expensive and time consuming, and, if resolved adversely, could harm our business, operating results, and financial condition</w:t>
      </w:r>
      <w:r>
        <w:rPr>
          <w:rFonts w:ascii="Times New Roman;serif" w:hAnsi="Times New Roman;serif"/>
          <w:b w:val="false"/>
          <w:color w:val="000000"/>
          <w:sz w:val="20"/>
        </w:rPr>
        <w:t xml:space="preserve">.” and </w:t>
      </w:r>
      <w:r>
        <w:rPr>
          <w:rFonts w:ascii="Times New Roman;serif" w:hAnsi="Times New Roman;serif"/>
          <w:b w:val="false"/>
          <w:i/>
          <w:color w:val="000000"/>
          <w:sz w:val="20"/>
        </w:rPr>
        <w:t>Note 22. Commitments and Contingencie</w:t>
      </w:r>
      <w:r>
        <w:rPr>
          <w:rFonts w:ascii="Times New Roman;serif" w:hAnsi="Times New Roman;serif"/>
          <w:b w:val="false"/>
          <w:color w:val="000000"/>
          <w:sz w:val="20"/>
        </w:rPr>
        <w:t xml:space="preserve">s and </w:t>
      </w:r>
      <w:r>
        <w:rPr>
          <w:rFonts w:ascii="Times New Roman;serif" w:hAnsi="Times New Roman;serif"/>
          <w:b w:val="false"/>
          <w:i/>
          <w:color w:val="000000"/>
          <w:sz w:val="20"/>
        </w:rPr>
        <w:t>Note 23. Subsequent Events</w:t>
      </w:r>
      <w:r>
        <w:rPr>
          <w:color w:val="000000"/>
        </w:rPr>
        <w:t xml:space="preserve"> </w:t>
      </w:r>
      <w:r>
        <w:rPr>
          <w:rFonts w:ascii="Times New Roman;serif" w:hAnsi="Times New Roman;serif"/>
          <w:b w:val="false"/>
          <w:color w:val="000000"/>
          <w:sz w:val="20"/>
        </w:rPr>
        <w:t>to our audited consolidated financial statements included elsewhere in this Annual Report on Form 10-K for a summary of legal proceedings to which we are a party.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16840"/>
                <wp:effectExtent l="0" t="0" r="0" b="0"/>
                <wp:wrapNone/>
                <wp:docPr id="110" name="Frame10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 Information for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Class A common stock began trading on the Nasdaq Global Select Market under the symbol “GEMI” on September 12, 2025. Prior to that date, there was no public trading market for our Class A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Class B common stock is not listed or traded on any stock exchange.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30, 2026, there were 114 registered holders of record of our Class A common stock and one registered holder of record of our Class B common stock. Since many of our shares of Class A common stock are held by brokers and other institutions on behalf of stockholders, we are unable to estimate the total number of stockholders represented by these record holders.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capital stock. We are not obligated to pay any dividends on our Class A common stock or Class B common stock, and we currently do not anticipate paying any dividends on our capital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Exchange Act or Securities 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graph below compares the cumulative total return to stockholders of our Class A common stock between September 12, 2025 (the date our Class A common stock commenced trading on the Nasdaq Global Select Market) and December 31, 2025 relative to the Nasdaq Composite Index and the price of bitcoin. The graph assumes the investment of $100 in our Class A common stock at the closing sale price of $32.00 per share on September 12, 2025, and in each index and assumes the reinvestment of dividends, if any.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historical data shown below should not be considered an indication of potential future stock price performance. Historical bitcoin prices are primarily based on data obtained from our platform. Where such data is not available (e.g., during a platform outage), such data may sometimes be sourced from other third-party exchanges or data providers.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16840"/>
                <wp:effectExtent l="0" t="0" r="0" b="0"/>
                <wp:wrapNone/>
                <wp:docPr id="111" name="Frame10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drawing>
          <wp:inline distT="0" distB="0" distL="0" distR="0">
            <wp:extent cx="5486400" cy="3524250"/>
            <wp:effectExtent l="0" t="0" r="0" b="0"/>
            <wp:docPr id="1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 descr=""/>
                    <pic:cNvPicPr>
                      <a:picLocks noChangeAspect="1" noChangeArrowheads="1"/>
                    </pic:cNvPicPr>
                  </pic:nvPicPr>
                  <pic:blipFill>
                    <a:blip r:embed="rId2"/>
                    <a:stretch>
                      <a:fillRect/>
                    </a:stretch>
                  </pic:blipFill>
                  <pic:spPr bwMode="auto">
                    <a:xfrm>
                      <a:off x="0" y="0"/>
                      <a:ext cx="5486400" cy="3524250"/>
                    </a:xfrm>
                    <a:prstGeom prst="rect">
                      <a:avLst/>
                    </a:prstGeom>
                  </pic:spPr>
                </pic:pic>
              </a:graphicData>
            </a:graphic>
          </wp:inline>
        </w:drawing>
      </w:r>
      <w:bookmarkStart w:id="0" w:name="i-1"/>
      <w:bookmarkEnd w:id="0"/>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Unregistered Sale of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did not repurchase any shares of our Class A common stock during the three months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You should read the following discussion and analysis of our financial condition and results of operations together with our consolidated financial statements and the related notes appearing elsewhere in this Annual Report</w:t>
      </w:r>
      <w:r>
        <w:rPr>
          <w:color w:val="000000"/>
        </w:rPr>
        <w:t xml:space="preserve"> </w:t>
      </w:r>
      <w:r>
        <w:rPr>
          <w:rFonts w:ascii="Times New Roman;serif" w:hAnsi="Times New Roman;serif"/>
          <w:b w:val="false"/>
          <w:i/>
          <w:color w:val="000000"/>
          <w:sz w:val="20"/>
        </w:rPr>
        <w:t>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You should read the sections titled “Risk Factors” and “Cautionary Note Regarding Forward-Looking Statements”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This Management's Discussion and Analysis of Financial Condition and Results of Operations focuses on a discussion of December 31, 2025 results as compared to December 31, 2024 results. For discussion of December 31, 2024 results as compared to December 31, 2023 results, see "Management's Discussion and Analysis of Financial Condition and Results of Operations." within our final prospectus dated September 11, 2025, and filed with the SEC pursuant to Rule 424(b)(4) on September 15,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16840"/>
                <wp:effectExtent l="0" t="0" r="0" b="0"/>
                <wp:wrapNone/>
                <wp:docPr id="113" name="Frame10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before="0" w:after="0"/>
        <w:jc w:val="both"/>
        <w:rPr/>
      </w:pPr>
      <w:r>
        <w:rPr/>
      </w:r>
    </w:p>
    <w:p>
      <w:pPr>
        <w:pStyle w:val="TextBody"/>
        <w:bidi w:val="0"/>
        <w:spacing w:lineRule="auto" w:line="288" w:before="0" w:after="0"/>
        <w:ind w:left="0" w:right="0" w:firstLine="44"/>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4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mission is to build the bridge to the future of money and markets. Gemini is a trusted cryptocurrency platform building secure financial infrastructure for the next generation of money and markets, providing access for individuals and institutions to a financial future that is more open, fair, and secure.</w:t>
      </w:r>
    </w:p>
    <w:p>
      <w:pPr>
        <w:pStyle w:val="TextBody"/>
        <w:bidi w:val="0"/>
        <w:spacing w:before="0" w:after="0"/>
        <w:ind w:left="0" w:right="0" w:firstLine="3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Gemini was founded in 2014 to be the most trusted, secure, and easy way to buy, sell, and store crypto assets. As of December 31, 2025, we served approximately 601,000 MTUs and approximately 10,000 institutions in over 60 countries, with over $15.9 billion of assets on our platform. In February 2026, we announced plans to exit and wind down operations in certain international markets, including the United Kingdom, the European Union and other European jurisdictions, and Australia. See </w:t>
      </w:r>
      <w:r>
        <w:rPr>
          <w:rFonts w:ascii="Times New Roman;serif" w:hAnsi="Times New Roman;serif"/>
          <w:b w:val="false"/>
          <w:i/>
          <w:color w:val="000000"/>
          <w:sz w:val="20"/>
        </w:rPr>
        <w:t xml:space="preserve">Note 23. Subsequent Events - Exit and Wind-Down Plan </w:t>
      </w:r>
      <w:r>
        <w:rPr>
          <w:rFonts w:ascii="Times New Roman;serif" w:hAnsi="Times New Roman;serif"/>
          <w:b w:val="false"/>
          <w:color w:val="000000"/>
          <w:sz w:val="20"/>
        </w:rPr>
        <w:t>to our audited consolidated financial statements included elsewhere in this Annual Report on Form 10-K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core exchange product has expanded over time to become a more comprehensive platform that enables users to engage with the cryptoeconomy and markets across a broad range of products and services. Our products and services include a derivatives exchange, staking services, an OTC trading desk, institutional-grade custody, a NYDFS-regulated stablecoin, a U.S.-based credit card program, and a prediction markets platform. We are building Gemini as an integrated platform with shared infrastructure for both money and markets and we intend to serve our users through a unified, multi-product experience.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we launched Gemini Predictions, a regulated prediction markets platform operated by our DCM affiliate and wholly-owned subsidiary, Gemini Titan, allowing eligible customers to trade binary event contracts on the outcomes of specified future events. This product expands our suite of trading offerings and leverages our regulatory approval from the CFTC to provide event-based derivatives alongside our existing crypto trading services.</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strive to deliver a seamless user experience to both retail and institutional users:</w:t>
      </w:r>
    </w:p>
    <w:p>
      <w:pPr>
        <w:pStyle w:val="TextBody"/>
        <w:bidi w:val="0"/>
        <w:spacing w:before="0" w:after="0"/>
        <w:ind w:left="0" w:right="0" w:firstLine="504"/>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Retail</w:t>
      </w:r>
      <w:r>
        <w:rPr>
          <w:rFonts w:ascii="Times New Roman;serif" w:hAnsi="Times New Roman;serif"/>
          <w:b w:val="false"/>
          <w:color w:val="000000"/>
          <w:sz w:val="20"/>
        </w:rPr>
        <w:t>: We often serve as a primary gateway for individual retail users into the cryptoeconomy. We provide a user-friendly, secure platform and mobile app for users to buy, sell, store, stake, and transfer a variety of crypto assets. Our products aim to suit the needs of beginners and sophisticated users alike.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Institutional: </w:t>
      </w:r>
      <w:r>
        <w:rPr>
          <w:rFonts w:ascii="Times New Roman;serif" w:hAnsi="Times New Roman;serif"/>
          <w:b w:val="false"/>
          <w:color w:val="000000"/>
          <w:sz w:val="20"/>
        </w:rPr>
        <w:t>We provide institutional investors, including asset managers, hedge funds, proprietary trading firms, and corporations with a robust and secure platform to access crypto markets. We offer advanced trading, OTC trading, and institutional-grade custody.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customer assets are held in full on our platform, ensuring every unit of cryptocurrency or fiat held by a user is available to the user. We hold MTLs or the statutory equivalent in all states that require such licenses so that we are able to operate in all 50 states and have direct access to fiat banking rails. </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and 2024, we generated total revenue of $179.6 million and $142.2 million, respectively, net income (loss) of $(582.8) million and $(158.5) million, respectively, and Adjusted EBITDA of $(258.0) million and $(13.2) million, respectively. </w:t>
      </w:r>
    </w:p>
    <w:p>
      <w:pPr>
        <w:pStyle w:val="TextBody"/>
        <w:bidi w:val="0"/>
        <w:spacing w:before="0" w:after="0"/>
        <w:ind w:left="0" w:right="0" w:firstLine="504"/>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Business Model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monetize the products and services offerings on our platform primarily through fee-based revenue. Fee revenues are predominantly transaction-related fees on trade volume for our exchange and OTC platforms. In addition, we also earn revenue from custody services, withdrawal fees, credit card fees and advisory fees.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16840"/>
                <wp:effectExtent l="0" t="0" r="0" b="0"/>
                <wp:wrapNone/>
                <wp:docPr id="114" name="Frame10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substantial portion of our total revenue is generated from transaction fees earned on volume-based trades across retail and institutional users on our exchange. For the years ended December 31, 2025 and 2024, exchange revenue represented 52.0% and 67.4% of our total revenue, respectively. Retail investors accounted for approximately 91% and 93% of exchange revenue for the year ended December 31, 2025 and 2024, respectively. Interest income is derived from USD-denominated assets we hold on our balance sheet that back our GUSD stablecoin.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Initial Public Offering and Concurrent Private Placement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15, 2025, we completed our initial public offering (the “IPO”), in which we issued and sold 15,937,501 shares of its Class A common stock at a public offering price of $28.00 per share, which included the exercise in full by the underwriters of their option to purchase an additional 300,565 shares of our Class A common stock from the Company and 458,364 shares of our Class A common stock from the selling stockholders. We did not receive any proceeds from the sale of shares by the selling stockholders. Net proceeds to us from the IPO were $406.3 million after deducting the underwriting discounts and commissions and before deducting offering costs of $15.2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Concurrent with the IPO, Nasdaq, Inc. entered into an agreement with us to purchase 1,904,761 shares of our Class A common stock in a private placement at $26.25 per share (the “Concurrent Private Placement”). The gross proceeds to us from the Concurrent Private Placement were $50.0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measures presented in our audited consolidated financial statements, we use the key business metrics listed below to evaluate our business, measure our performance, identify trends affecting our business, and make strategic decisions:</w:t>
      </w:r>
    </w:p>
    <w:tbl>
      <w:tblPr>
        <w:tblW w:w="10205" w:type="dxa"/>
        <w:jc w:val="left"/>
        <w:tblInd w:w="0" w:type="dxa"/>
        <w:tblLayout w:type="fixed"/>
        <w:tblCellMar>
          <w:top w:w="28" w:type="dxa"/>
          <w:left w:w="28" w:type="dxa"/>
          <w:bottom w:w="28" w:type="dxa"/>
          <w:right w:w="28" w:type="dxa"/>
        </w:tblCellMar>
      </w:tblPr>
      <w:tblGrid>
        <w:gridCol w:w="1658"/>
        <w:gridCol w:w="1459"/>
        <w:gridCol w:w="1469"/>
        <w:gridCol w:w="194"/>
        <w:gridCol w:w="194"/>
        <w:gridCol w:w="194"/>
        <w:gridCol w:w="194"/>
        <w:gridCol w:w="350"/>
        <w:gridCol w:w="1421"/>
        <w:gridCol w:w="194"/>
        <w:gridCol w:w="109"/>
        <w:gridCol w:w="109"/>
        <w:gridCol w:w="109"/>
        <w:gridCol w:w="196"/>
        <w:gridCol w:w="781"/>
        <w:gridCol w:w="109"/>
        <w:gridCol w:w="109"/>
        <w:gridCol w:w="109"/>
        <w:gridCol w:w="109"/>
        <w:gridCol w:w="196"/>
        <w:gridCol w:w="781"/>
        <w:gridCol w:w="161"/>
      </w:tblGrid>
      <w:tr>
        <w:trPr/>
        <w:tc>
          <w:tcPr>
            <w:tcW w:w="1658"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8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6"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465" w:type="dxa"/>
            <w:gridSpan w:val="6"/>
            <w:tcBorders/>
          </w:tcPr>
          <w:p>
            <w:pPr>
              <w:pStyle w:val="TableContents"/>
              <w:bidi w:val="0"/>
              <w:spacing w:before="0" w:after="283"/>
              <w:jc w:val="left"/>
              <w:rPr>
                <w:sz w:val="4"/>
                <w:szCs w:val="4"/>
              </w:rPr>
            </w:pPr>
            <w:r>
              <w:rPr>
                <w:sz w:val="4"/>
                <w:szCs w:val="4"/>
              </w:rPr>
            </w:r>
          </w:p>
        </w:tc>
      </w:tr>
      <w:tr>
        <w:trPr/>
        <w:tc>
          <w:tcPr>
            <w:tcW w:w="458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586"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Monthly Transacting Users</w:t>
            </w:r>
            <w:r>
              <w:rPr>
                <w:color w:val="000000"/>
              </w:rPr>
              <w:t xml:space="preserve"> </w:t>
            </w:r>
            <w:r>
              <w:rPr>
                <w:rFonts w:ascii="Times New Roman;serif" w:hAnsi="Times New Roman;serif"/>
                <w:b w:val="false"/>
                <w:i/>
                <w:color w:val="000000"/>
                <w:sz w:val="18"/>
              </w:rPr>
              <w:t>(in thousands)</w:t>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Lifetime Transacting Users </w:t>
            </w:r>
            <w:r>
              <w:rPr>
                <w:rFonts w:ascii="Times New Roman;serif" w:hAnsi="Times New Roman;serif"/>
                <w:b w:val="false"/>
                <w:i/>
                <w:color w:val="000000"/>
                <w:sz w:val="18"/>
              </w:rPr>
              <w:t>(in thousands)</w:t>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Card Sign-Ups </w:t>
            </w:r>
            <w:r>
              <w:rPr>
                <w:rFonts w:ascii="Times New Roman;serif" w:hAnsi="Times New Roman;serif"/>
                <w:b w:val="false"/>
                <w:i/>
                <w:color w:val="000000"/>
                <w:sz w:val="18"/>
              </w:rPr>
              <w:t>(in thousands)</w:t>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Trading Volume </w:t>
            </w:r>
            <w:r>
              <w:rPr>
                <w:rFonts w:ascii="Times New Roman;serif" w:hAnsi="Times New Roman;serif"/>
                <w:b w:val="false"/>
                <w:i/>
                <w:color w:val="000000"/>
                <w:sz w:val="18"/>
              </w:rPr>
              <w:t>(in billions)</w:t>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Assets on Platform </w:t>
            </w:r>
            <w:r>
              <w:rPr>
                <w:rFonts w:ascii="Times New Roman;serif" w:hAnsi="Times New Roman;serif"/>
                <w:b w:val="false"/>
                <w:i/>
                <w:color w:val="000000"/>
                <w:sz w:val="18"/>
              </w:rPr>
              <w:t>(in billions)</w:t>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Income (loss) </w:t>
            </w:r>
            <w:r>
              <w:rPr>
                <w:rFonts w:ascii="Times New Roman;serif" w:hAnsi="Times New Roman;serif"/>
                <w:b w:val="false"/>
                <w:i/>
                <w:color w:val="000000"/>
                <w:sz w:val="18"/>
              </w:rPr>
              <w:t>(in thousands)</w:t>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(582,813)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(319,675)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EBITDA </w:t>
            </w:r>
            <w:r>
              <w:rPr>
                <w:rFonts w:ascii="Times New Roman;serif" w:hAnsi="Times New Roman;serif"/>
                <w:b w:val="false"/>
                <w:i/>
                <w:color w:val="000000"/>
                <w:sz w:val="18"/>
              </w:rPr>
              <w:t>(in thousands)</w:t>
            </w:r>
            <w:r>
              <w:rPr>
                <w:rFonts w:ascii="Times New Roman;serif" w:hAnsi="Times New Roman;serif"/>
                <w:b w:val="false"/>
                <w:color w:val="000000"/>
                <w:sz w:val="12"/>
              </w:rPr>
              <w:t>(1)</w:t>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(257,993)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(112,269)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10"/>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See the section below titled “Adjusted EBITDA” for a reconciliation of net income (loss) to Adjusted EBITDA and an explanation for why we consider Adjusted EBITDA to be a helpful metric for investors.</w:t>
            </w:r>
          </w:p>
        </w:tc>
        <w:tc>
          <w:tcPr>
            <w:tcW w:w="2878"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Monthly Transacting Users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an MTU as any retail or institutional user who has engaged in any revenue-generating activity or whose account otherwise generated revenue for the Company in the trailing thirty days, including transacting on our spot or derivatives exchange or on Gemini Predictions, holding a digital asset or fiat balance in a Gemini exchange account that generates revenue for the Company, holding a digital asset balance in a Gemini Custody account, holding a balance in our pooled Staking product, making a transaction or holding a balance on the Gemini Credit Card, or completing a fiat (wire) or digital asset withdrawal from our platform. MTUs also engage in transactions that are non-revenue generating, such as consumers sending and receiving crypto assets between wallets.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view MTUs as an indicator of platform engagement and overall business health, and MTUs also serve as a top-of-funnel metric in our internal financial forecasting processes. MTUs directly correlate with other key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16840"/>
                <wp:effectExtent l="0" t="0" r="0" b="0"/>
                <wp:wrapNone/>
                <wp:docPr id="115" name="Frame10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performance indicators, such as Trading Volume, and revenue, particularly because transaction-based fees represent the majority of our revenue. For example, for the year ended December 31, 2025, approximately 54.6%, of our revenue was derived from transaction fees. As MTUs increase, we generally experience increased transaction activity, which leads to increased fee-based revenue. In turn, this generally supports higher gross margin and contributes to increases in net income. We also use MTUs to help evaluate the performance of our growth initiatives, including our efforts to acquire new retail and institutional users and broaden the number and type of crypto assets supported on our platform.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MTUs may overstate the number of unique users due to differences in product architecture or user behavior. For instance, regarding product architecture, our platform includes distinct products, such as our core exchange and Nifty Gateway, that utilize separate account structures and store user data in separate databases. While we seek to identify overlapping users across these products by cross-referencing shared information (e.g., email addresses), a single user who registered on both the exchange and Nifty Gateway using different credentials could be counted as two MTUs. Relatedly, regarding user behavior, our metrics may result in overstatement where a user intentionally or inadvertently maintains multiple accounts using different email addresses, phone numbers, or usernames. For illustrative purposes, a single user who creates one account on our exchange and another on Nifty Gateway with separate email addresses may be counted as two MTUs if the overlap is not detected. While we actively monitor for duplicate, fraudulent, or spam accounts and exclude those from our key metrics, we may not fully eliminate all duplication among legitimate users. See “</w:t>
      </w:r>
      <w:r>
        <w:rPr>
          <w:rFonts w:ascii="Times New Roman;serif" w:hAnsi="Times New Roman;serif"/>
          <w:b w:val="false"/>
          <w:i/>
          <w:color w:val="000000"/>
          <w:sz w:val="20"/>
        </w:rPr>
        <w:t>Risk Factors—General Risk Factors—Key business metrics and other estimates are subject to inherent challenges in measurement and to change as our business evolves, and our business, operating results, and financial condition could be adversely affected by real or perceived inaccuracies in those metrics or any changes in metrics we disclose.</w:t>
      </w:r>
      <w:r>
        <w:rPr>
          <w:color w:val="00000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Overall, we believe MTUs provide a measure of the breadth of active user engagement with our products, and we use this metric, among others, to evaluate the effectiveness of our user acquisition, product expansion, and engagement strategies.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MTUs presented as of the end of a year represent the MTUs as of the last day of that year.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Lifetime Transacting Users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LTUs represent the cumulative number of unique MTUs who have ever transacted on our platform and continue to maintain an open account, measured since inception.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LTUs provide a long-term measure of the breadth of our customer base and reflect the aggregate adoption of our platform over time. While MTUs capture monthly activity, LTUs illustrate the durability of customer relationships, since users who maintain open accounts—even if inactive in a given period—remain part of our ecosystem and are candidates for reactivation. We use LTUs to evaluate the effectiveness of our acquisition strategies and to assess the long-term potential for engagement and monetization.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LTUs, like MTUs, may be subject to overstatement due to duplicate accounts or product architecture. For example, a user who maintains separate accounts across Gemini Exchange and Nifty Gateway, or who re-registers with different credentials, may be counted more than once. While we actively monitor for and remove duplicate, fraudulent, or spam accounts, our reported LTUs may not fully eliminate all duplication. See “</w:t>
      </w:r>
      <w:r>
        <w:rPr>
          <w:rFonts w:ascii="Times New Roman;serif" w:hAnsi="Times New Roman;serif"/>
          <w:b w:val="false"/>
          <w:i/>
          <w:color w:val="000000"/>
          <w:sz w:val="20"/>
        </w:rPr>
        <w:t>Risk Factors—General Risk Factors—Key business metrics and other estimates are subject to inherent challenges in measurement and to change as our business evolves, and our business, operating results, and financial condition could be adversely affected by real or perceived inaccuracies in those metrics or any changes in metrics we disclose.</w:t>
      </w:r>
      <w:r>
        <w:rPr>
          <w:color w:val="000000"/>
        </w:rPr>
        <w: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16840"/>
                <wp:effectExtent l="0" t="0" r="0" b="0"/>
                <wp:wrapNone/>
                <wp:docPr id="116" name="Frame10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Card Sign-Ups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Card Sign-Ups as the cumulative number of approved applications for the Gemini Credit Card in the relevant period. Card Sign-Ups include customers who have been approved to open an account, regardless of whether they have subsequently activated or used their card.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Card Sign-Ups represent the breadth of adoption of the Gemini Credit Card and reflect the effectiveness of our acquisition efforts. We view Card Sign-Ups primarily as a leading indicator of future card revenue, including interchange revenue, receivables, and crypto rewards engagement. While not all approved applicants activate or use their cards, higher levels of Card Sign-Ups expand the addressable base of potential Cards Issued. We define Cards Issued as the cumulative number of credit cards that have been issued and remain open during the relevant period. This metric represents any open credit line for an account.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Card Sign-Ups do not directly measure cardholder activity, as not all approved applicants activate or use their cards. Accordingly, growth in Card Sign-Ups should be evaluated together with Cards Issued, transaction volume, and related receivables to provide a comprehensive view of card program performance.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Trading Volume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Trading Volume as the total U.S. dollar equivalent value of spot matched trades transacted between a buyer and seller through our platform during the period of measurement. Trading Volume represents the product of the quantity of assets transacted and the trade price at the time the transaction was executed. As trading activity directly impacts transaction revenue, we believe this measure is a reflection of liquidity of our order book and the underlying growth of the cryptoeconomy.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Generally, Trading Volume on our platform is primarily influenced by the price of crypto assets, crypto asset volatility, and macroeconomic conditions. In periods of high crypto asset prices and crypto asset volatility, we have experienced correspondingly high levels of Trading Volume on our platform. We expect that our Trading Volume in future periods will depend on the relative availability and adoption of bitcoin, ether, and other crypto assets.</w:t>
      </w:r>
    </w:p>
    <w:p>
      <w:pPr>
        <w:pStyle w:val="TextBody"/>
        <w:bidi w:val="0"/>
        <w:spacing w:before="0" w:after="0"/>
        <w:ind w:left="0" w:right="0" w:firstLine="504"/>
        <w:jc w:val="both"/>
        <w:rPr/>
      </w:pPr>
      <w:r>
        <w:rPr/>
      </w:r>
    </w:p>
    <w:tbl>
      <w:tblPr>
        <w:tblW w:w="7206" w:type="dxa"/>
        <w:jc w:val="left"/>
        <w:tblInd w:w="0" w:type="dxa"/>
        <w:tblLayout w:type="fixed"/>
        <w:tblCellMar>
          <w:top w:w="28" w:type="dxa"/>
          <w:left w:w="28" w:type="dxa"/>
          <w:bottom w:w="28" w:type="dxa"/>
          <w:right w:w="28" w:type="dxa"/>
        </w:tblCellMar>
      </w:tblPr>
      <w:tblGrid>
        <w:gridCol w:w="1353"/>
        <w:gridCol w:w="1186"/>
        <w:gridCol w:w="1196"/>
        <w:gridCol w:w="109"/>
        <w:gridCol w:w="109"/>
        <w:gridCol w:w="110"/>
        <w:gridCol w:w="110"/>
        <w:gridCol w:w="198"/>
        <w:gridCol w:w="472"/>
        <w:gridCol w:w="110"/>
        <w:gridCol w:w="110"/>
        <w:gridCol w:w="110"/>
        <w:gridCol w:w="110"/>
        <w:gridCol w:w="198"/>
        <w:gridCol w:w="472"/>
        <w:gridCol w:w="110"/>
        <w:gridCol w:w="109"/>
        <w:gridCol w:w="109"/>
        <w:gridCol w:w="109"/>
        <w:gridCol w:w="196"/>
        <w:gridCol w:w="466"/>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0" w:type="dxa"/>
            <w:gridSpan w:val="1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143" w:type="dxa"/>
            <w:gridSpan w:val="6"/>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73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i/>
                <w:color w:val="000000"/>
                <w:sz w:val="18"/>
              </w:rPr>
            </w:pPr>
            <w:r>
              <w:rPr>
                <w:rFonts w:ascii="Times New Roman;serif" w:hAnsi="Times New Roman;serif"/>
                <w:b/>
                <w:i/>
                <w:color w:val="000000"/>
                <w:sz w:val="18"/>
              </w:rPr>
              <w:t>Trading Volume (in billions):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Retail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ind w:left="0" w:right="0" w:hanging="11"/>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Institutional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ind w:left="0" w:right="0" w:hanging="11"/>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46.0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r>
      <w:tr>
        <w:trPr/>
        <w:tc>
          <w:tcPr>
            <w:tcW w:w="3735" w:type="dxa"/>
            <w:gridSpan w:val="3"/>
            <w:tcBorders>
              <w:top w:val="single" w:sz="8" w:space="0" w:color="CCEEFF"/>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ind w:left="0" w:right="0" w:hanging="11"/>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i/>
                <w:color w:val="000000"/>
                <w:sz w:val="18"/>
              </w:rPr>
            </w:pPr>
            <w:r>
              <w:rPr>
                <w:rFonts w:ascii="Times New Roman;serif" w:hAnsi="Times New Roman;serif"/>
                <w:b/>
                <w:i/>
                <w:color w:val="000000"/>
                <w:sz w:val="18"/>
              </w:rPr>
              <w:t>Trading Volume by Crypto Asset (in billions):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ind w:left="0" w:right="0" w:hanging="11"/>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Ether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ind w:left="0" w:right="0" w:hanging="11"/>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XRP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ind w:left="0" w:right="0" w:hanging="11"/>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Other crypto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ind w:left="0" w:right="0" w:hanging="11"/>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r>
      <w:tr>
        <w:trPr/>
        <w:tc>
          <w:tcPr>
            <w:tcW w:w="3735"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ind w:left="0" w:right="0" w:hanging="11"/>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i/>
                <w:color w:val="000000"/>
                <w:sz w:val="18"/>
              </w:rPr>
            </w:pPr>
            <w:r>
              <w:rPr>
                <w:rFonts w:ascii="Times New Roman;serif" w:hAnsi="Times New Roman;serif"/>
                <w:b/>
                <w:i/>
                <w:color w:val="000000"/>
                <w:sz w:val="18"/>
              </w:rPr>
              <w:t>Exchange Revenue by Crypto Asset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ind w:left="0" w:right="0" w:hanging="11"/>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Ether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ind w:left="0" w:right="0" w:hanging="11"/>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XRP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ind w:left="0" w:right="0" w:hanging="11"/>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Other crypto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ind w:left="0" w:right="0" w:hanging="11"/>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ind w:left="0" w:right="0" w:hanging="11"/>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16840"/>
                <wp:effectExtent l="0" t="0" r="0" b="0"/>
                <wp:wrapNone/>
                <wp:docPr id="117" name="Frame10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tbl>
      <w:tblPr>
        <w:tblW w:w="3855" w:type="dxa"/>
        <w:jc w:val="left"/>
        <w:tblInd w:w="0" w:type="dxa"/>
        <w:tblLayout w:type="fixed"/>
        <w:tblCellMar>
          <w:top w:w="28" w:type="dxa"/>
          <w:left w:w="28" w:type="dxa"/>
          <w:bottom w:w="28" w:type="dxa"/>
          <w:right w:w="28" w:type="dxa"/>
        </w:tblCellMar>
      </w:tblPr>
      <w:tblGrid>
        <w:gridCol w:w="631"/>
        <w:gridCol w:w="554"/>
        <w:gridCol w:w="55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63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4"/>
              </w:rPr>
            </w:pPr>
            <w:r>
              <w:rPr>
                <w:rFonts w:ascii="Times New Roman;serif" w:hAnsi="Times New Roman;serif"/>
                <w:b w:val="false"/>
                <w:color w:val="000000"/>
                <w:sz w:val="14"/>
              </w:rPr>
              <w:t>nm - not meaningful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no asset other than bitcoin and ether individually represented more than 10% of our Trading Volume, respectively. During the year ended December 31, 2024, no asset other than bitcoin and ether individually represented more than 10% of our exchange revenue. For the year ended December 31, 2025, no other asset other than bitcoin, ether or XRP individually represented more than 10% of our exchange revenue.</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Assets on Platform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Assets on Platform represents the total value of assets held on our platform and includes digital assets in custody, staking, and exchange products, user custodial fiat, and GUSD reserve assets. We view Assets on Platform as evidence of the trust that users place in our platform. The total value of Assets on Platform is influenced by various factors, including interest rates, asset prices, and the quantity and type of digital assets that users store or trade. We monetize Assets on Platform by offering custody, staking, and exchange products that generate fees based on user activity. We generally expect any growth of Assets on Platform to correlate with engagement with our products, driving transaction and services revenue for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Fluctuations in crypto asset prices and changes in the quantity or types of assets held can cause Assets on Platform to rise or fall over a given period. For instance, the total quantity of assets (in crypto units or fiat) may increase in a period, but Assets on Platform could decrease if the price of one or more crypto assets drops in that period. Conversely, Assets on Platform may grow even if the quantity of assets decreases in a period, provided rising crypto prices offset that decline. Because Assets on Platform depends on multiple market-driven variables, it naturally fluctuates over time.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we have derived a material portion of our Assets on Platform from the storage of bitcoin and ether. As of December 31, 2025, bitcoin, ether, and other crypto assets represented 63.5%, 19.5%, and 13.8% of Assets on Platform, respectively, and customer custodial fiat assets represented 3.1% of Assets on Platform. As of December 31, 2024, bitcoin, ether, and other crypto assets represented 64.8%, 19.8%, and 12.1% of Assets on Platform, respectively, and customer custodial fiat assets represented 3.3% of Assets on Platform. </w:t>
      </w:r>
    </w:p>
    <w:p>
      <w:pPr>
        <w:pStyle w:val="TextBody"/>
        <w:bidi w:val="0"/>
        <w:spacing w:before="0" w:after="0"/>
        <w:jc w:val="both"/>
        <w:rPr/>
      </w:pPr>
      <w:r>
        <w:rPr/>
      </w:r>
    </w:p>
    <w:tbl>
      <w:tblPr>
        <w:tblW w:w="5396" w:type="dxa"/>
        <w:jc w:val="left"/>
        <w:tblInd w:w="0" w:type="dxa"/>
        <w:tblLayout w:type="fixed"/>
        <w:tblCellMar>
          <w:top w:w="28" w:type="dxa"/>
          <w:left w:w="28" w:type="dxa"/>
          <w:bottom w:w="28" w:type="dxa"/>
          <w:right w:w="28" w:type="dxa"/>
        </w:tblCellMar>
      </w:tblPr>
      <w:tblGrid>
        <w:gridCol w:w="895"/>
        <w:gridCol w:w="788"/>
        <w:gridCol w:w="791"/>
        <w:gridCol w:w="196"/>
        <w:gridCol w:w="466"/>
        <w:gridCol w:w="109"/>
        <w:gridCol w:w="109"/>
        <w:gridCol w:w="109"/>
        <w:gridCol w:w="109"/>
        <w:gridCol w:w="196"/>
        <w:gridCol w:w="466"/>
        <w:gridCol w:w="109"/>
        <w:gridCol w:w="109"/>
        <w:gridCol w:w="109"/>
        <w:gridCol w:w="109"/>
        <w:gridCol w:w="196"/>
        <w:gridCol w:w="376"/>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47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i/>
                <w:color w:val="000000"/>
                <w:sz w:val="18"/>
              </w:rPr>
            </w:pPr>
            <w:r>
              <w:rPr>
                <w:rFonts w:ascii="Times New Roman;serif" w:hAnsi="Times New Roman;serif"/>
                <w:b/>
                <w:i/>
                <w:color w:val="000000"/>
                <w:sz w:val="18"/>
              </w:rPr>
              <w:t>Assets on Platform (in billions):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196"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Ether</w:t>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Other crypto assets</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Customer custodial fiat assets</w:t>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ind w:left="0" w:right="0" w:hanging="11"/>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Adjusted EBITDA</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Adjusted EBITDA as net income (loss), adjusted to exclude provision for (benefit from) income taxes, interest expense, depreciation and amortization, stock-based compensation expense, impairment, non-recurring legal contingencies, settlement and related costs, change in fair value on related party convertible notes, change in fair value on related party loans, gain on conversion of convertible notes and term loans, and unrealized foreign exchange loss (gain).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16840"/>
                <wp:effectExtent l="0" t="0" r="0" b="0"/>
                <wp:wrapNone/>
                <wp:docPr id="118" name="Frame1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believes that Adjusted EBITDA, which is a measure not presented in accordance with GAAP, provides investors with additional useful information in evaluating our performance. We use this non-GAAP measure internally to evaluate performance and to make financial, investment and operational decisions. We believe that presentation of this non-GAAP measure provides investors with greater transparency with respect to our operating results and that this measure is useful for period-to-period comparisons of results. Management also believes that providing this non-GAAP measure helps investors evaluate the Company’s operating performance, profitability and business trends in a way that is consistent with how management evaluates such matters. Among other non-cash and non-recurring items, Adjusted EBITDA excludes stock-based compensation expense, which has recently been, and will continue to be for the foreseeable future, a significant recurring expense for our business and an important part of our compensation strategy.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companies, including companies in our industry, may calculate similarly titled non-GAAP measures differently or may use other non-GAAP measures to evaluate their performance, all of which could reduce the usefulness of our non-GAAP financial measures as a tool for comparison. A reconciliation of Adjusted EBITDA is provided below to the most directly comparable financial measure stated in accordance with GAAP. Investors are encouraged to review the related GAAP financial measures and the reconciliation of non-GAAP financial measures to their most directly comparable GAAP financial measures, and not to rely on any single financial measure to evaluate our business. Adjusted EBITDA is presented for supplemental informational purposes only, has limitations as an analytical tool, and should not be considered in isolation or as a substitute for financial information presented in accordance with GAAP.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a reconciliation of net income (loss) to Adjusted EBITDA for the years ended December 31, 2025, 2024 and 2023:</w:t>
      </w:r>
    </w:p>
    <w:p>
      <w:pPr>
        <w:pStyle w:val="TextBody"/>
        <w:bidi w:val="0"/>
        <w:spacing w:before="0" w:after="0"/>
        <w:ind w:left="0" w:right="0" w:firstLine="504"/>
        <w:jc w:val="both"/>
        <w:rPr/>
      </w:pPr>
      <w:r>
        <w:rPr/>
      </w:r>
    </w:p>
    <w:tbl>
      <w:tblPr>
        <w:tblW w:w="10205" w:type="dxa"/>
        <w:jc w:val="left"/>
        <w:tblInd w:w="0" w:type="dxa"/>
        <w:tblLayout w:type="fixed"/>
        <w:tblCellMar>
          <w:top w:w="28" w:type="dxa"/>
          <w:left w:w="28" w:type="dxa"/>
          <w:bottom w:w="28" w:type="dxa"/>
          <w:right w:w="28" w:type="dxa"/>
        </w:tblCellMar>
      </w:tblPr>
      <w:tblGrid>
        <w:gridCol w:w="1924"/>
        <w:gridCol w:w="1547"/>
        <w:gridCol w:w="1556"/>
        <w:gridCol w:w="167"/>
        <w:gridCol w:w="167"/>
        <w:gridCol w:w="167"/>
        <w:gridCol w:w="167"/>
        <w:gridCol w:w="301"/>
        <w:gridCol w:w="1200"/>
        <w:gridCol w:w="167"/>
        <w:gridCol w:w="109"/>
        <w:gridCol w:w="109"/>
        <w:gridCol w:w="109"/>
        <w:gridCol w:w="196"/>
        <w:gridCol w:w="763"/>
        <w:gridCol w:w="109"/>
        <w:gridCol w:w="109"/>
        <w:gridCol w:w="109"/>
        <w:gridCol w:w="109"/>
        <w:gridCol w:w="196"/>
        <w:gridCol w:w="763"/>
        <w:gridCol w:w="161"/>
      </w:tblGrid>
      <w:tr>
        <w:trPr/>
        <w:tc>
          <w:tcPr>
            <w:tcW w:w="192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39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447" w:type="dxa"/>
            <w:gridSpan w:val="6"/>
            <w:tcBorders/>
          </w:tcPr>
          <w:p>
            <w:pPr>
              <w:pStyle w:val="TableContents"/>
              <w:bidi w:val="0"/>
              <w:spacing w:before="0" w:after="283"/>
              <w:jc w:val="left"/>
              <w:rPr>
                <w:sz w:val="4"/>
                <w:szCs w:val="4"/>
              </w:rPr>
            </w:pPr>
            <w:r>
              <w:rPr>
                <w:sz w:val="4"/>
                <w:szCs w:val="4"/>
              </w:rPr>
            </w:r>
          </w:p>
        </w:tc>
      </w:tr>
      <w:tr>
        <w:trPr/>
        <w:tc>
          <w:tcPr>
            <w:tcW w:w="502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w:t>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027"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(582,813)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(158,546)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(319,675)</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70,334 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30,723 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84,956 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w:t>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Non-recurring legal contingencies, settlements, and related costs</w:t>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98,761 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convertible notes</w:t>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25,789 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Change in fair value on related party loans</w:t>
            </w:r>
            <w:r>
              <w:rPr>
                <w:rFonts w:ascii="Times New Roman;serif" w:hAnsi="Times New Roman;serif"/>
                <w:b w:val="false"/>
                <w:color w:val="000000"/>
                <w:sz w:val="12"/>
              </w:rPr>
              <w:t>(1)</w:t>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119,309 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Non-recurring gain related to conversion of convertible notes and term loans</w:t>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loss (gain)</w:t>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(257,993)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(112,269)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10"/>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4"/>
              </w:rPr>
              <w:t xml:space="preserve">(1) Includes the change in fair value of the 2025 Term Loan Agreement and the change in fair value of the 2024 Term Loan Agreement, which was amended in January 2025 to include a conversion feature, as outlined in </w:t>
            </w:r>
            <w:r>
              <w:rPr>
                <w:rFonts w:ascii="Times New Roman;serif" w:hAnsi="Times New Roman;serif"/>
                <w:b w:val="false"/>
                <w:i/>
                <w:color w:val="000000"/>
                <w:sz w:val="14"/>
              </w:rPr>
              <w:t>Note 13. Related Party Loans and Convertible Notes</w:t>
            </w:r>
            <w:r>
              <w:rPr>
                <w:color w:val="000000"/>
              </w:rPr>
              <w:t xml:space="preserve"> </w:t>
            </w:r>
            <w:r>
              <w:rPr>
                <w:rFonts w:ascii="Times New Roman;serif" w:hAnsi="Times New Roman;serif"/>
                <w:b w:val="false"/>
                <w:color w:val="000000"/>
                <w:sz w:val="14"/>
              </w:rPr>
              <w:t>to our consolidated financial statements included elsewhere in this Form 10-K. The 2024 Term Loan Agreement was not subject to fair value measurement in prior periods.</w:t>
            </w:r>
          </w:p>
        </w:tc>
        <w:tc>
          <w:tcPr>
            <w:tcW w:w="2842"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04"/>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Key Factors Affecting Our Performance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key factors affecting our results of operations and financial performance are as follows: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16840"/>
                <wp:effectExtent l="0" t="0" r="0" b="0"/>
                <wp:wrapNone/>
                <wp:docPr id="119" name="Frame1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Market Cycles and Crypto Asset Prices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revenue represents the majority of our revenue today, and depends on the volume of crypto asset transactions on our platform as well as the value of such transactions. Periods of rising crypto asset prices may stimulate heightened transaction activity and user onboarding on our platform, while decreasing crypto asset prices may reduce such activities in any given period. As a result, the supply and demand for crypto assets and cyclicality in the crypto market may favorably or unfavorably impact our MTUs and revenue.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earn custodial fee revenue based on a percentage of the daily value of assets under our custody, and staking revenue denominated in crypto assets, each of which are subject to fluctuation based on price volatility of crypto assets and market conditions.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Adoption of Crypto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growth and operating results are dependent on our continued ability to add users, expand the breadth of crypto assets on our platform, and launch innovative products, each of which are dependent on the continued adoption of crypto assets by market participants. Historically, the increase in total market capitalization of crypto assets has been positively correlated with crypto asset adoption. While we believe the total market capitalization of crypto assets will increase over time, creating opportunities for us to increase our user base, product offerings and transactional activity on our platform, historical trends are not indicative of future adoption, and it is possible that the adoption of crypto assets and blockchain technology may slow or never occur on a broad scale, which would negatively impact our business and operating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User Acquisition and Retention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growth is dependent on our ability to continue to attract and retain users. We seek to retain and grow our user base through offering competitive transaction fees, seamless user experience, robust security, diverse asset and product offerings, and marketing campaigns. We also focus on increasing users and engagement across our platform by cross-selling additional products and services we provide, such as prediction markets, staking or the Gemini Credit Card. We expect to continue investing in sales and marketing initiatives to support user acquisition and engagement, however the level and mix of such investments may vary over time based on market conditions, strategic priorities, and the effectiveness of our marketing strategies. As a result, our sales and marketing expenses may increase in absolute dollars in certain periods. In any period, our revenues may fluctuate based on the level of marketing investments and our ability to attract and retain users.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Launching Innovative Products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intend to continue emphasizing product innovation as a key driver of user engagement. We are executing on a comprehensive product roadmap that anticipates evolving user needs while capitalizing on emerging opportunities in the cryptoeconomy. Central to this initiative is the development of enhanced user engagement tools, particularly our secure wallet solution, which serves as a gateway for users to safely access and participate in the growing onchain ecosystem. We believe that continued investment in product innovation will be central to expanding our user base and future revenue. Implementing new products may increase our costs over the short and medium term as these products reach scale and are adopted by new and existing users.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Competitive Landscape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results depend on our ability to manage competitive pressures in a rapidly-evolving crypto industry. We expect competition across our products and services to further intensify in the future as existing and new competitors introduce new products and services or enhance their value propositions for customers. As the industry matures, fee pressures may emerge over time. We intend to continue innovating to drive new products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16840"/>
                <wp:effectExtent l="0" t="0" r="0" b="0"/>
                <wp:wrapNone/>
                <wp:docPr id="120" name="Frame1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services while delivering a premier user experience and maintaining our position as a trusted brand in the crypto space to offset the effects of these competitive pressures. If we are unable to capture value through our strategies, or if these competitive pressures emerge more rapidly than we anticipate, our operating results may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Regulatory Environment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oversight by numerous regulatory agencies in the United States and other jurisdictions, and our operating results and continued growth depend in part on our ability to continue to operate in compliance with applicable laws and regulation, as the regulatory environment develops over time. We maintain dedicated finance, legal, compliance, and security functions and continue to allocate resources in order to remain at the forefront of crypto policy initiatives and regulatory trends. We may experience fluctuations in our operating results as a result of regulatory changes or actions that could limit our ability to support new blockchains and crypto assets, onboard users, and offer our products and services across jurisdictions.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Expanding Assets and Markets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growth depends in part on our ability to expand the breadth of crypto assets and markets available on our platform. We are actively enhancing our token offerings for both trading and custody services and supporting emerging blockchain protocol features, such as expanding staking capabilities to provide additional yield opportunities for our users. The December 2025 launch of Gemini Predictions™ marked our expansion beyond crypto into event contracts, and we continue to evaluate opportunities to offer additional markets, including equities, tokenized securities, and other derivatives, subject to regulatory approval and market demand. We expect to continue to incur costs in expanding supported assets and markets with the objective of diversifying our revenue streams, capturing increased trading volume and transaction revenue, and deepening user engagement.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Strategic Acquisitions, Investments, and Partnerships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growth depends in part on our ability to successfully identify acquisition, investment, and partnership opportunities. We have in the past made acquisitions to bring new capabilities to our platform and will continue to explore new acquisition opportunities that we believe are complementary to our platform. Through our strategic venture arm, Gemini Frontier Fund, we expect to continue to evaluate investment opportunities in early-stage crypto projects and startups. We will also continue to explore and enter into strategic partnerships with various companies to scale our business, including, but not limited to, partnerships to increase traffic to our platform and banking and payment processor partnerships, such as our existing partnership with Mastercard. Over the long term, we expect these partnerships will drive an increase in our MTUs and diversify our revenue streams. Any such acquisition, investment or partnership opportunities may add additional costs during the evaluation or transitional phase before any benefits are fully captured or may otherwise affect our operating results in a given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before="0" w:after="0"/>
        <w:ind w:left="0" w:right="0" w:firstLine="504"/>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includes Net revenue, which comprises of Transaction revenue and Services revenue, Other revenue and Revenue not from contracts with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Transaction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revenue represents transaction fees earned from retail and institutional customers, such as wealth and asset managers, public and private companies, and other entities designated as investment vehicles. The transaction fee varies depending on the value of the transaction and/or the user’s transaction volume processed 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16840"/>
                <wp:effectExtent l="0" t="0" r="0" b="0"/>
                <wp:wrapNone/>
                <wp:docPr id="121" name="Frame1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previous thirty-day period. Instant orders incur a convenience fee that is typically calculated at a rate around 100 basis points above the market price. In certain instances, the transaction fee can be collected in crypto assets, primarily bitcoin and ether, with revenue measured based on the fair value of the underlying crypto assets at the time of the transaction, which represents the point of contract inception. All crypto assets received as payment are either exchanged for fiat or maintained in Company wallets for operational or other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Transaction revenue also includes revenue from our OTC trading desk and other transaction revenue such as revenue earned from customers using our legacy digital art auction platform, Nifty Gateway and tokenized equity fees. Revenue from digital art auctions and tokenized equity trading was not material for the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Services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Services revenue includes credit card revenue, staking revenue, advisory fee revenue, custodial fee revenue and other services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Credit Card Revenue</w:t>
      </w:r>
      <w:r>
        <w:rPr>
          <w:rFonts w:ascii="Times New Roman;serif" w:hAnsi="Times New Roman;serif"/>
          <w:b w:val="false"/>
          <w:color w:val="000000"/>
          <w:sz w:val="20"/>
        </w:rPr>
        <w:t>: We offer a credit card that provides users with access to an electronic form of payment through the Mastercard network. Crypto asset rewards are issued to users after each credit card purchase is executed. We record interest, fees and interchange income relating to our credit card within Credit card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Staking Revenue</w:t>
      </w:r>
      <w:r>
        <w:rPr>
          <w:rFonts w:ascii="Times New Roman;serif" w:hAnsi="Times New Roman;serif"/>
          <w:b w:val="false"/>
          <w:color w:val="000000"/>
          <w:sz w:val="20"/>
        </w:rPr>
        <w:t>: We offer customers a feature allowing transfers of specific assets for staking and, as a result, the opportunity to receive staking rewards from the associated blockchain network. In exchange for these staking services, we earn a fee from the customer that is calculated based on the amount of crypto assets the customer earns through staking. Staking fees are collected in crypto assets by the Company with the type of asset collected being dependent on which blockchain network the customer is staking assets on: Ether, Solana, or Polygon. Crypto asset revenue is measured based on the fair value of the underlying crypto assets at the time of the transaction.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Ether staking, the Company provides staking services using the staking validators that it controls on its own platform. The Company determined it is the principal in Ether staking transactions as it is the primary party responsible for fulfilling the staking service. As a result, the Company discloses revenue associated with the fees earned on a gross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Solana and Polygon staking, the Company uses a third-party staking validator. The Company is the agent in these staking transactions. The Company does not control the crypto assets before or during the staking process and the Company is not responsible for the fulfillment of staking transactions or the determination of the fees earned by the pool. As a result, the Company discloses revenue associated with the fees earned on a net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Advisory Fee Revenue:</w:t>
      </w:r>
      <w:r>
        <w:rPr>
          <w:color w:val="000000"/>
        </w:rPr>
        <w:t xml:space="preserve"> </w:t>
      </w:r>
      <w:r>
        <w:rPr>
          <w:rFonts w:ascii="Times New Roman;serif" w:hAnsi="Times New Roman;serif"/>
          <w:b w:val="false"/>
          <w:color w:val="000000"/>
          <w:sz w:val="20"/>
        </w:rPr>
        <w:t xml:space="preserve">Revenue from advisory services consists of fees earned for providing investment strategy, asset management, and general advisory support to customers. As part of certain arrangements, we receive warrants or other equity-linked instruments as non-cash consideration. Revenue related to these warrants is recognized over time as the associated performance obligation is satisfied, based on the grant-date fair value of the warrants.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Custodial Fee Revenue</w:t>
      </w:r>
      <w:r>
        <w:rPr>
          <w:rFonts w:ascii="Times New Roman;serif" w:hAnsi="Times New Roman;serif"/>
          <w:b w:val="false"/>
          <w:color w:val="000000"/>
          <w:sz w:val="20"/>
        </w:rPr>
        <w:t>: We provide a proprietary cold storage system to users that is used to securely store crypto assets offline. In exchange for this service, we earn a fee from the customer, which is based on a contractual percentage of the daily value of assets under custody and accrues each calendar day against the respective crypto asset balance. In certain instances, custody fees can be collected in crypto assets, primarily bitcoin and ether, with revenue measured based on the fair value of the underlying crypto assets at the time of the transaction, which represents the point of contract inception.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16840"/>
                <wp:effectExtent l="0" t="0" r="0" b="0"/>
                <wp:wrapNone/>
                <wp:docPr id="122" name="Frame1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Other Services Revenue: </w:t>
      </w:r>
      <w:r>
        <w:rPr>
          <w:rFonts w:ascii="Times New Roman;serif" w:hAnsi="Times New Roman;serif"/>
          <w:b w:val="false"/>
          <w:color w:val="000000"/>
          <w:sz w:val="20"/>
        </w:rPr>
        <w:t xml:space="preserve">We provide onchain and platform-related services, including smart contract integration, token listing and evaluation services, and other technology or infrastructure support to customers and ecosystem partners. These services are recognized as revenue upon completion of the related performance obligations, which may include the successful deployment of onchain contracts, technical integrations, or completion of listing-related deliverables.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Other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revenue consists primarily of ancillary fees and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Revenue Not from Contracts with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not from contracts with customers includes Interest income and Corporate interest. Interest income includes interest earned on customer custodial funds that are held at third-party banks and earn interest. Corporate interest includes interest earned on cash and cash equivalents, restricted cash and restricted cash equivalents. Interest income is included within Net revenue and Corporate interest is included within Other revenue, respectively, on the consolidated statements of operations and comprehensive loss included in our consolidated financial statements included elsewhere in this Annual Report on Form 10-K.</w:t>
      </w:r>
    </w:p>
    <w:p>
      <w:pPr>
        <w:pStyle w:val="TextBody"/>
        <w:bidi w:val="0"/>
        <w:spacing w:before="0" w:after="0"/>
        <w:ind w:left="0" w:right="0" w:firstLine="504"/>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expenses consist of salaries and compensation, technology, general and administrative, transaction losses, sales and marketing, and transaction processing.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Salaries and Compensation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Salaries and compensation expenses include costs incurred for employee remuneration during a specific period. It includes salaries, wages, bonuses, commissions and other forms of compensation, such as stock-based compensation and, historically, profit interest units. Additionally, it captures related expenses like payroll taxes, benefits (i.e., health insurance, retirement contributions), and other financial incentives provided to employees.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Technology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Technology expense includes costs incurred to operate and maintain our exchange platform, technology infrastructure, and other technology-enabled business lines. These costs include amortization of intangible assets, software licenses, cloud computing and data hosting costs, cybersecurity and equipment costs necessary to operate and maintain our exchange platform and other business lines.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include legal, finance, compliance, human resources, executive management, other support operations and corporate overhead. We expect general and administrative expenses to continuously grow as the business grows and scales. In addition, as a public company, we expect to continue to incur incremental general and administrative expenses associated with public company compliance, governance, regulatory, and reporting requirements.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Transaction Losses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losses consist of expenses related to both expected credit losses on financial assets, as well as certain non-credit transactions and operational losses arising from transaction activity. These losses include provisions for expected credit losses associated with our credit card receivables, as well as losses related to canceled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16840"/>
                <wp:effectExtent l="0" t="0" r="0" b="0"/>
                <wp:wrapNone/>
                <wp:docPr id="123" name="Frame1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or unfunded deposit transactions from retail users. Losses from canceled or unfunded deposit transactions typically arise when a user’s ACH deposit is prefunded or otherwise advanced by us and subsequently canceled by the user after execution of the related trade but before the advanced deposit is sufficiently funded. If we are unable to collect and retain the ACH deposits associated with such canceled or unfunded transactions, we recognize a loss equal to the amount by which the uncollected deposit exceeds the fair value of the asset purchased in the associated trade, if any. Other instances that result in transaction losses include unauthorized debits to user accounts and token processing defects and settlement errors.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includes costs incurred to promote our brand, products, and services and to acquire, retain, and engage customers. These costs include advertising and promotional expenses, credit card rewards and customer incentive programs, sponsorships and partnerships, marketing campaigns, and other sales and marketing–related costs. Advertising costs are expensed as incurred.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Transaction Processing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Transaction processing expense includes costs incurred to operate, secure and monitor our exchange platform, wallet services, staking services and other business lines. These costs include account payment processing fees, blockchain transaction and mining fees, rewards paid or credited to customers in connection with staking arrangements, and fees paid to other financial institutions for customer transaction activity.</w:t>
      </w:r>
    </w:p>
    <w:p>
      <w:pPr>
        <w:pStyle w:val="TextBody"/>
        <w:bidi w:val="0"/>
        <w:spacing w:before="0" w:after="0"/>
        <w:ind w:left="0" w:right="0" w:firstLine="504"/>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Other income (expense), net primarily reflects market-driven valuation changes, including unrealized foreign currency translation gains and losses, gains and losses on derivatives, including changes in fair value of embedded derivatives. Other income (expense), net also includes changes in the fair value of strategic investments and warrants, gain on conversion of convertible notes and terms loans, operating-related transactions such as sublease income and realized gains and losses related to customer liability settlement and accrued expenses. In addition, Other income (expense), net includes realized gains related to settlement matters as disclosed in </w:t>
      </w:r>
      <w:hyperlink w:anchor="i398e92ff5e2248149c5a58221ea5bce2_199">
        <w:r>
          <w:rPr>
            <w:rStyle w:val="InternetLink"/>
            <w:rFonts w:ascii="Times New Roman;serif" w:hAnsi="Times New Roman;serif"/>
            <w:b w:val="false"/>
            <w:i/>
            <w:strike w:val="false"/>
            <w:dstrike w:val="false"/>
            <w:color w:val="000000"/>
            <w:sz w:val="20"/>
            <w:u w:val="none"/>
            <w:effect w:val="none"/>
          </w:rPr>
          <w:t xml:space="preserve">Note </w:t>
        </w:r>
      </w:hyperlink>
      <w:r>
        <w:rPr>
          <w:rFonts w:ascii="Times New Roman;serif" w:hAnsi="Times New Roman;serif"/>
          <w:b w:val="false"/>
          <w:i/>
          <w:color w:val="000000"/>
          <w:sz w:val="20"/>
        </w:rPr>
        <w:t>22.</w:t>
      </w:r>
      <w:hyperlink w:anchor="i398e92ff5e2248149c5a58221ea5bce2_199">
        <w:r>
          <w:rPr>
            <w:rStyle w:val="InternetLink"/>
            <w:rFonts w:ascii="Times New Roman;serif" w:hAnsi="Times New Roman;serif"/>
            <w:b w:val="false"/>
            <w:i/>
            <w:strike w:val="false"/>
            <w:dstrike w:val="false"/>
            <w:color w:val="000000"/>
            <w:sz w:val="20"/>
            <w:u w:val="none"/>
            <w:effect w:val="none"/>
          </w:rPr>
          <w:t xml:space="preserve"> Commitments and Contingencies</w:t>
        </w:r>
      </w:hyperlink>
      <w:r>
        <w:rPr>
          <w:rFonts w:ascii="Times New Roman;serif" w:hAnsi="Times New Roman;serif"/>
          <w:b w:val="false"/>
          <w:i/>
          <w:color w:val="000000"/>
          <w:sz w:val="20"/>
        </w:rPr>
        <w:t>.</w:t>
      </w:r>
      <w:r>
        <w:rPr>
          <w:color w:val="000000"/>
        </w:rPr>
        <w:t xml:space="preserve"> </w:t>
      </w:r>
    </w:p>
    <w:p>
      <w:pPr>
        <w:pStyle w:val="TextBody"/>
        <w:bidi w:val="0"/>
        <w:spacing w:before="0" w:after="0"/>
        <w:ind w:left="0" w:right="0" w:firstLine="504"/>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 Benefit (Provision)</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 benefit (provision) includes income taxes related to U.S. federal and state income taxes as well as foreign jurisdictions.</w:t>
      </w:r>
    </w:p>
    <w:p>
      <w:pPr>
        <w:pStyle w:val="TextBody"/>
        <w:bidi w:val="0"/>
        <w:spacing w:before="0" w:after="0"/>
        <w:ind w:left="0" w:right="0" w:firstLine="504"/>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our consolidated statements of operations data in dollars and as a percentage of total revenue:</w:t>
      </w:r>
    </w:p>
    <w:p>
      <w:pPr>
        <w:pStyle w:val="TextBody"/>
        <w:bidi w:val="0"/>
        <w:spacing w:before="0" w:after="0"/>
        <w:ind w:left="0" w:right="0" w:firstLine="504"/>
        <w:jc w:val="both"/>
        <w:rPr/>
      </w:pPr>
      <w:r>
        <w:rPr/>
      </w:r>
    </w:p>
    <w:tbl>
      <w:tblPr>
        <w:tblW w:w="10205" w:type="dxa"/>
        <w:jc w:val="left"/>
        <w:tblInd w:w="0" w:type="dxa"/>
        <w:tblLayout w:type="fixed"/>
        <w:tblCellMar>
          <w:top w:w="28" w:type="dxa"/>
          <w:left w:w="28" w:type="dxa"/>
          <w:bottom w:w="28" w:type="dxa"/>
          <w:right w:w="28" w:type="dxa"/>
        </w:tblCellMar>
      </w:tblPr>
      <w:tblGrid>
        <w:gridCol w:w="484"/>
        <w:gridCol w:w="426"/>
        <w:gridCol w:w="428"/>
        <w:gridCol w:w="109"/>
        <w:gridCol w:w="109"/>
        <w:gridCol w:w="109"/>
        <w:gridCol w:w="109"/>
        <w:gridCol w:w="155"/>
        <w:gridCol w:w="155"/>
        <w:gridCol w:w="156"/>
        <w:gridCol w:w="109"/>
        <w:gridCol w:w="196"/>
        <w:gridCol w:w="736"/>
        <w:gridCol w:w="109"/>
        <w:gridCol w:w="109"/>
        <w:gridCol w:w="109"/>
        <w:gridCol w:w="109"/>
        <w:gridCol w:w="238"/>
        <w:gridCol w:w="238"/>
        <w:gridCol w:w="561"/>
        <w:gridCol w:w="109"/>
        <w:gridCol w:w="109"/>
        <w:gridCol w:w="109"/>
        <w:gridCol w:w="196"/>
        <w:gridCol w:w="736"/>
        <w:gridCol w:w="109"/>
        <w:gridCol w:w="109"/>
        <w:gridCol w:w="109"/>
        <w:gridCol w:w="109"/>
        <w:gridCol w:w="238"/>
        <w:gridCol w:w="238"/>
        <w:gridCol w:w="561"/>
        <w:gridCol w:w="109"/>
        <w:gridCol w:w="109"/>
        <w:gridCol w:w="109"/>
        <w:gridCol w:w="196"/>
        <w:gridCol w:w="646"/>
        <w:gridCol w:w="109"/>
        <w:gridCol w:w="109"/>
        <w:gridCol w:w="109"/>
        <w:gridCol w:w="109"/>
        <w:gridCol w:w="255"/>
        <w:gridCol w:w="226"/>
        <w:gridCol w:w="633"/>
      </w:tblGrid>
      <w:tr>
        <w:trPr/>
        <w:tc>
          <w:tcPr>
            <w:tcW w:w="48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1338"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4083" w:type="dxa"/>
            <w:gridSpan w:val="18"/>
            <w:tcBorders/>
          </w:tcPr>
          <w:p>
            <w:pPr>
              <w:pStyle w:val="TableContents"/>
              <w:bidi w:val="0"/>
              <w:spacing w:before="0" w:after="283"/>
              <w:jc w:val="left"/>
              <w:rPr>
                <w:sz w:val="4"/>
                <w:szCs w:val="4"/>
              </w:rPr>
            </w:pPr>
            <w:r>
              <w:rPr>
                <w:sz w:val="4"/>
                <w:szCs w:val="4"/>
              </w:rPr>
            </w:r>
          </w:p>
        </w:tc>
      </w:tr>
      <w:tr>
        <w:trPr/>
        <w:tc>
          <w:tcPr>
            <w:tcW w:w="1338"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2719" w:type="dxa"/>
            <w:gridSpan w:val="12"/>
            <w:tcBorders/>
          </w:tcPr>
          <w:p>
            <w:pPr>
              <w:pStyle w:val="TableContents"/>
              <w:bidi w:val="0"/>
              <w:spacing w:before="0" w:after="283"/>
              <w:jc w:val="left"/>
              <w:rPr>
                <w:sz w:val="4"/>
                <w:szCs w:val="4"/>
              </w:rPr>
            </w:pPr>
            <w:r>
              <w:rPr>
                <w:sz w:val="4"/>
                <w:szCs w:val="4"/>
              </w:rPr>
            </w:r>
          </w:p>
        </w:tc>
      </w:tr>
      <w:tr>
        <w:trPr/>
        <w:tc>
          <w:tcPr>
            <w:tcW w:w="1338"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6"/>
              <w:jc w:val="center"/>
              <w:rPr>
                <w:rFonts w:ascii="Times New Roman;serif" w:hAnsi="Times New Roman;serif"/>
                <w:b/>
                <w:color w:val="000000"/>
                <w:sz w:val="18"/>
              </w:rPr>
            </w:pPr>
            <w:r>
              <w:rPr>
                <w:rFonts w:ascii="Times New Roman;serif" w:hAnsi="Times New Roman;serif"/>
                <w:b/>
                <w:color w:val="000000"/>
                <w:sz w:val="18"/>
              </w:rPr>
              <w:t>% of Revenue</w:t>
            </w:r>
          </w:p>
        </w:tc>
      </w:tr>
      <w:tr>
        <w:trPr/>
        <w:tc>
          <w:tcPr>
            <w:tcW w:w="1338"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Net revenue</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561"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561"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633"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7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61" w:type="dxa"/>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7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61" w:type="dxa"/>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7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633" w:type="dxa"/>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ind w:left="0" w:right="0" w:hanging="6"/>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38"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16840"/>
                <wp:effectExtent l="0" t="0" r="0" b="0"/>
                <wp:wrapNone/>
                <wp:docPr id="124" name="Frame1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tbl>
      <w:tblPr>
        <w:tblW w:w="10205" w:type="dxa"/>
        <w:jc w:val="left"/>
        <w:tblInd w:w="0" w:type="dxa"/>
        <w:tblLayout w:type="fixed"/>
        <w:tblCellMar>
          <w:top w:w="28" w:type="dxa"/>
          <w:left w:w="28" w:type="dxa"/>
          <w:bottom w:w="28" w:type="dxa"/>
          <w:right w:w="28" w:type="dxa"/>
        </w:tblCellMar>
      </w:tblPr>
      <w:tblGrid>
        <w:gridCol w:w="747"/>
        <w:gridCol w:w="606"/>
        <w:gridCol w:w="608"/>
        <w:gridCol w:w="118"/>
        <w:gridCol w:w="118"/>
        <w:gridCol w:w="118"/>
        <w:gridCol w:w="118"/>
        <w:gridCol w:w="118"/>
        <w:gridCol w:w="118"/>
        <w:gridCol w:w="118"/>
        <w:gridCol w:w="118"/>
        <w:gridCol w:w="212"/>
        <w:gridCol w:w="824"/>
        <w:gridCol w:w="118"/>
        <w:gridCol w:w="118"/>
        <w:gridCol w:w="118"/>
        <w:gridCol w:w="118"/>
        <w:gridCol w:w="239"/>
        <w:gridCol w:w="241"/>
        <w:gridCol w:w="278"/>
        <w:gridCol w:w="109"/>
        <w:gridCol w:w="109"/>
        <w:gridCol w:w="109"/>
        <w:gridCol w:w="196"/>
        <w:gridCol w:w="753"/>
        <w:gridCol w:w="109"/>
        <w:gridCol w:w="109"/>
        <w:gridCol w:w="109"/>
        <w:gridCol w:w="109"/>
        <w:gridCol w:w="217"/>
        <w:gridCol w:w="221"/>
        <w:gridCol w:w="256"/>
        <w:gridCol w:w="109"/>
        <w:gridCol w:w="109"/>
        <w:gridCol w:w="109"/>
        <w:gridCol w:w="196"/>
        <w:gridCol w:w="753"/>
        <w:gridCol w:w="109"/>
        <w:gridCol w:w="109"/>
        <w:gridCol w:w="109"/>
        <w:gridCol w:w="109"/>
        <w:gridCol w:w="218"/>
        <w:gridCol w:w="220"/>
        <w:gridCol w:w="478"/>
      </w:tblGrid>
      <w:tr>
        <w:trPr/>
        <w:tc>
          <w:tcPr>
            <w:tcW w:w="74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Salaries and compensation </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225,872 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278"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56"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478"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Technology</w:t>
            </w:r>
            <w:r>
              <w:rPr>
                <w:rFonts w:ascii="Times New Roman;serif" w:hAnsi="Times New Roman;serif"/>
                <w:b w:val="false"/>
                <w:color w:val="000000"/>
                <w:sz w:val="12"/>
              </w:rPr>
              <w:t>(2)</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77,127 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78" w:type="dxa"/>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56" w:type="dxa"/>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478" w:type="dxa"/>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General and administrative</w:t>
            </w:r>
            <w:r>
              <w:rPr>
                <w:rFonts w:ascii="Times New Roman;serif" w:hAnsi="Times New Roman;serif"/>
                <w:b w:val="false"/>
                <w:color w:val="000000"/>
                <w:sz w:val="12"/>
              </w:rPr>
              <w:t>(3)</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78"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478"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61"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losses</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78" w:type="dxa"/>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78" w:type="dxa"/>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97,127 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78"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78" w:type="dxa"/>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Transaction processing </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78" w:type="dxa"/>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78" w:type="dxa"/>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525,228 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57"/>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307,990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57"/>
              <w:jc w:val="left"/>
              <w:rPr>
                <w:sz w:val="4"/>
                <w:szCs w:val="4"/>
              </w:rPr>
            </w:pPr>
            <w:r>
              <w:rPr>
                <w:sz w:val="4"/>
                <w:szCs w:val="4"/>
              </w:rPr>
            </w:r>
          </w:p>
        </w:tc>
        <w:tc>
          <w:tcPr>
            <w:tcW w:w="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409,732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57"/>
              <w:jc w:val="left"/>
              <w:rPr>
                <w:sz w:val="4"/>
                <w:szCs w:val="4"/>
              </w:rPr>
            </w:pPr>
            <w:r>
              <w:rPr>
                <w:sz w:val="4"/>
                <w:szCs w:val="4"/>
              </w:rPr>
            </w:r>
          </w:p>
        </w:tc>
        <w:tc>
          <w:tcPr>
            <w:tcW w:w="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61"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(345,656)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(311,595)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(318)</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ind w:left="0" w:right="0" w:hanging="6"/>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61"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Realized and unrealized gain (loss) on crypto assets and receivable, crypto assets pledged </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4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gain (loss) on related party crypto loans</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(32,142)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convertible notes</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(25,789)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4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Change in fair value on related party loans </w:t>
            </w:r>
            <w:r>
              <w:rPr>
                <w:rFonts w:ascii="Times New Roman;serif" w:hAnsi="Times New Roman;serif"/>
                <w:b w:val="false"/>
                <w:color w:val="000000"/>
                <w:sz w:val="12"/>
              </w:rPr>
              <w:t>(4)</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(119,309)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related party loans</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(53,187)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4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third party loans</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funding debt</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(243,144)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61" w:type="dxa"/>
            <w:gridSpan w:val="3"/>
            <w:tcBorders>
              <w:top w:val="single" w:sz="8" w:space="0" w:color="CCEEFF"/>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before income taxes</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(588,800)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(150,920)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(323,749)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6"/>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firstLine="166"/>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61" w:type="dxa"/>
            <w:gridSpan w:val="3"/>
            <w:tcBorders>
              <w:top w:val="single" w:sz="8" w:space="0" w:color="CCEEFF"/>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(582,813)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(158,546)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87" w:type="dxa"/>
            <w:gridSpan w:val="10"/>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4" w:type="dxa"/>
            <w:gridSpan w:val="24"/>
            <w:tcBorders/>
          </w:tcPr>
          <w:p>
            <w:pPr>
              <w:pStyle w:val="TableContents"/>
              <w:bidi w:val="0"/>
              <w:spacing w:before="0" w:after="283"/>
              <w:jc w:val="left"/>
              <w:rPr>
                <w:sz w:val="4"/>
                <w:szCs w:val="4"/>
              </w:rPr>
            </w:pPr>
            <w:r>
              <w:rPr>
                <w:sz w:val="4"/>
                <w:szCs w:val="4"/>
              </w:rPr>
            </w:r>
          </w:p>
        </w:tc>
      </w:tr>
      <w:tr>
        <w:trPr/>
        <w:tc>
          <w:tcPr>
            <w:tcW w:w="5171" w:type="dxa"/>
            <w:gridSpan w:val="20"/>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4"/>
              </w:rPr>
              <w:t xml:space="preserve">(1) Includes related party amounts of $2.5 million, $2.2 million and $1.0 million for the years ended December 31, 2025, 2024 and 2023, respectively, as outlined in </w:t>
            </w:r>
            <w:r>
              <w:rPr>
                <w:rFonts w:ascii="Times New Roman;serif" w:hAnsi="Times New Roman;serif"/>
                <w:b w:val="false"/>
                <w:i/>
                <w:color w:val="000000"/>
                <w:sz w:val="14"/>
              </w:rPr>
              <w:t xml:space="preserve">Note 21. Related Party Transactions </w:t>
            </w:r>
            <w:r>
              <w:rPr>
                <w:rFonts w:ascii="Times New Roman;serif" w:hAnsi="Times New Roman;serif"/>
                <w:b w:val="false"/>
                <w:color w:val="000000"/>
                <w:sz w:val="14"/>
              </w:rPr>
              <w:t>to our consolidated financial statements included elsewhere in Part II, Item 8 of this Annual Report on Form 10-K.</w:t>
            </w:r>
          </w:p>
        </w:tc>
        <w:tc>
          <w:tcPr>
            <w:tcW w:w="5034" w:type="dxa"/>
            <w:gridSpan w:val="24"/>
            <w:tcBorders/>
          </w:tcPr>
          <w:p>
            <w:pPr>
              <w:pStyle w:val="TableContents"/>
              <w:bidi w:val="0"/>
              <w:spacing w:before="0" w:after="283"/>
              <w:jc w:val="left"/>
              <w:rPr>
                <w:sz w:val="4"/>
                <w:szCs w:val="4"/>
              </w:rPr>
            </w:pPr>
            <w:r>
              <w:rPr>
                <w:sz w:val="4"/>
                <w:szCs w:val="4"/>
              </w:rPr>
            </w:r>
          </w:p>
        </w:tc>
      </w:tr>
      <w:tr>
        <w:trPr/>
        <w:tc>
          <w:tcPr>
            <w:tcW w:w="5171" w:type="dxa"/>
            <w:gridSpan w:val="20"/>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4"/>
              </w:rPr>
              <w:t xml:space="preserve">(2) Includes related party amounts of $0.8 million, $0.7 million and $1.7 million for the years ended December 31, 2025, 2024 and 2023, respectively, as outlined in </w:t>
            </w:r>
            <w:r>
              <w:rPr>
                <w:rFonts w:ascii="Times New Roman;serif" w:hAnsi="Times New Roman;serif"/>
                <w:b w:val="false"/>
                <w:i/>
                <w:color w:val="000000"/>
                <w:sz w:val="14"/>
              </w:rPr>
              <w:t xml:space="preserve">Note 21. Related Party Transactions </w:t>
            </w:r>
            <w:r>
              <w:rPr>
                <w:rFonts w:ascii="Times New Roman;serif" w:hAnsi="Times New Roman;serif"/>
                <w:b w:val="false"/>
                <w:color w:val="000000"/>
                <w:sz w:val="14"/>
              </w:rPr>
              <w:t>to our consolidated financial statements</w:t>
            </w:r>
            <w:r>
              <w:rPr>
                <w:color w:val="000000"/>
              </w:rPr>
              <w:t xml:space="preserve"> </w:t>
            </w:r>
            <w:r>
              <w:rPr>
                <w:rFonts w:ascii="Times New Roman;serif" w:hAnsi="Times New Roman;serif"/>
                <w:b w:val="false"/>
                <w:color w:val="000000"/>
                <w:sz w:val="14"/>
              </w:rPr>
              <w:t>included elsewhere in Part II, Item 8 of this Annual Report on Form 10-K.</w:t>
            </w:r>
          </w:p>
        </w:tc>
        <w:tc>
          <w:tcPr>
            <w:tcW w:w="5034" w:type="dxa"/>
            <w:gridSpan w:val="24"/>
            <w:tcBorders/>
          </w:tcPr>
          <w:p>
            <w:pPr>
              <w:pStyle w:val="TableContents"/>
              <w:bidi w:val="0"/>
              <w:spacing w:before="0" w:after="283"/>
              <w:jc w:val="left"/>
              <w:rPr>
                <w:sz w:val="4"/>
                <w:szCs w:val="4"/>
              </w:rPr>
            </w:pPr>
            <w:r>
              <w:rPr>
                <w:sz w:val="4"/>
                <w:szCs w:val="4"/>
              </w:rPr>
            </w:r>
          </w:p>
        </w:tc>
      </w:tr>
      <w:tr>
        <w:trPr/>
        <w:tc>
          <w:tcPr>
            <w:tcW w:w="5171" w:type="dxa"/>
            <w:gridSpan w:val="20"/>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4"/>
              </w:rPr>
              <w:t xml:space="preserve">(3) Includes related party amounts of $1.0 million, $0 and less than $0.1 million for the years ended December 31, 2025, 2024 and 2023, respectively, as outlined in </w:t>
            </w:r>
            <w:r>
              <w:rPr>
                <w:rFonts w:ascii="Times New Roman;serif" w:hAnsi="Times New Roman;serif"/>
                <w:b w:val="false"/>
                <w:i/>
                <w:color w:val="000000"/>
                <w:sz w:val="14"/>
              </w:rPr>
              <w:t xml:space="preserve">Note 21. Related Party Transactions </w:t>
            </w:r>
            <w:r>
              <w:rPr>
                <w:rFonts w:ascii="Times New Roman;serif" w:hAnsi="Times New Roman;serif"/>
                <w:b w:val="false"/>
                <w:color w:val="000000"/>
                <w:sz w:val="14"/>
              </w:rPr>
              <w:t>to our consolidated financial statements included elsewhere in Part II, Item 8 of this Annual Report on Form 10-K.</w:t>
            </w:r>
          </w:p>
        </w:tc>
        <w:tc>
          <w:tcPr>
            <w:tcW w:w="5034" w:type="dxa"/>
            <w:gridSpan w:val="24"/>
            <w:tcBorders/>
          </w:tcPr>
          <w:p>
            <w:pPr>
              <w:pStyle w:val="TableContents"/>
              <w:bidi w:val="0"/>
              <w:spacing w:before="0" w:after="283"/>
              <w:jc w:val="left"/>
              <w:rPr>
                <w:sz w:val="4"/>
                <w:szCs w:val="4"/>
              </w:rPr>
            </w:pPr>
            <w:r>
              <w:rPr>
                <w:sz w:val="4"/>
                <w:szCs w:val="4"/>
              </w:rPr>
            </w:r>
          </w:p>
        </w:tc>
      </w:tr>
      <w:tr>
        <w:trPr/>
        <w:tc>
          <w:tcPr>
            <w:tcW w:w="5171" w:type="dxa"/>
            <w:gridSpan w:val="20"/>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4"/>
              </w:rPr>
              <w:t xml:space="preserve">(4) Includes the change in fair value of the 2025 Term Loan Agreement and the change in fair value of the 2024 Term Loan Agreement, which were amended in January 2025 to include a conversion feature, as outlined in </w:t>
            </w:r>
            <w:r>
              <w:rPr>
                <w:rFonts w:ascii="Times New Roman;serif" w:hAnsi="Times New Roman;serif"/>
                <w:b w:val="false"/>
                <w:i/>
                <w:color w:val="000000"/>
                <w:sz w:val="14"/>
              </w:rPr>
              <w:t>Note 13. Related Party Loans and Convertible Notes</w:t>
            </w:r>
            <w:r>
              <w:rPr>
                <w:color w:val="000000"/>
              </w:rPr>
              <w:t xml:space="preserve"> </w:t>
            </w:r>
            <w:r>
              <w:rPr>
                <w:rFonts w:ascii="Times New Roman;serif" w:hAnsi="Times New Roman;serif"/>
                <w:b w:val="false"/>
                <w:color w:val="000000"/>
                <w:sz w:val="14"/>
              </w:rPr>
              <w:t>to our consolidated financial statements included elsewhere in Part II, Item 8 of this Annual Report on Form 10-K. The 2024 Term Loan Agreement was not subject to fair value measurement in prior periods.</w:t>
            </w:r>
          </w:p>
        </w:tc>
        <w:tc>
          <w:tcPr>
            <w:tcW w:w="5034" w:type="dxa"/>
            <w:gridSpan w:val="24"/>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Comparison of Components of Results of Operations for the Years Ended December 31, 2025 and 2024 </w:t>
      </w:r>
    </w:p>
    <w:p>
      <w:pPr>
        <w:pStyle w:val="TextBody"/>
        <w:bidi w:val="0"/>
        <w:spacing w:before="0" w:after="0"/>
        <w:ind w:left="0" w:right="0" w:firstLine="504"/>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Transaction revenue</w:t>
      </w:r>
    </w:p>
    <w:tbl>
      <w:tblPr>
        <w:tblW w:w="8861" w:type="dxa"/>
        <w:jc w:val="left"/>
        <w:tblInd w:w="0" w:type="dxa"/>
        <w:tblLayout w:type="fixed"/>
        <w:tblCellMar>
          <w:top w:w="28" w:type="dxa"/>
          <w:left w:w="28" w:type="dxa"/>
          <w:bottom w:w="28" w:type="dxa"/>
          <w:right w:w="28" w:type="dxa"/>
        </w:tblCellMar>
      </w:tblPr>
      <w:tblGrid>
        <w:gridCol w:w="884"/>
        <w:gridCol w:w="779"/>
        <w:gridCol w:w="781"/>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11"/>
        <w:gridCol w:w="111"/>
        <w:gridCol w:w="111"/>
        <w:gridCol w:w="111"/>
        <w:gridCol w:w="201"/>
        <w:gridCol w:w="204"/>
        <w:gridCol w:w="265"/>
        <w:gridCol w:w="109"/>
        <w:gridCol w:w="109"/>
        <w:gridCol w:w="109"/>
        <w:gridCol w:w="109"/>
        <w:gridCol w:w="109"/>
        <w:gridCol w:w="201"/>
        <w:gridCol w:w="204"/>
        <w:gridCol w:w="301"/>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251" w:type="dxa"/>
            <w:gridSpan w:val="8"/>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Exchange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OTC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Other transaction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Total transaction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98,020 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99,076 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504"/>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16840"/>
                <wp:effectExtent l="0" t="0" r="0" b="0"/>
                <wp:wrapNone/>
                <wp:docPr id="125" name="Frame1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Exchange revenue for the year ended December 31, 2025 decreased by $2.4 million, or 3%, mainly driven by a $13.0 million decrease in retail revenue, attributable to a 4% reduction in retail trading volume, and a $2.2 million decrease in withdrawal fees. These decreases were partially offset by favorable changes in trading mix and pricing, including a $10.9 million increase in average blended fees resulting from a larger proportion of trading pairs and order types with higher fee rates. In addition, institutional revenue increased by $1.6 million attributable to a 46% increase in institutional trading volume, and a $0.3 million reduction in incentive credits provided to market makers due to increased net trading fees.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OTC revenue increased by $1.6 million, or 69%, for the year ended December 31, 2025, primarily due to higher trading volumes driven by increased institutional activity and more favorable trading spreads.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other transaction revenue decreased by $0.3 million, or 34%, reflecting a general downturn in the broader NFT market, resulting in lower transaction volume and reduced consumer demand. In January 2026, we announced our decision to wind down our NFT business, reflecting continued weakness in the NFT market.</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Services revenue</w:t>
      </w:r>
    </w:p>
    <w:p>
      <w:pPr>
        <w:pStyle w:val="TextBody"/>
        <w:bidi w:val="0"/>
        <w:spacing w:before="0" w:after="0"/>
        <w:jc w:val="both"/>
        <w:rPr/>
      </w:pPr>
      <w:r>
        <w:rPr/>
      </w:r>
    </w:p>
    <w:tbl>
      <w:tblPr>
        <w:tblW w:w="9131" w:type="dxa"/>
        <w:jc w:val="left"/>
        <w:tblInd w:w="0" w:type="dxa"/>
        <w:tblLayout w:type="fixed"/>
        <w:tblCellMar>
          <w:top w:w="28" w:type="dxa"/>
          <w:left w:w="28" w:type="dxa"/>
          <w:bottom w:w="28" w:type="dxa"/>
          <w:right w:w="28" w:type="dxa"/>
        </w:tblCellMar>
      </w:tblPr>
      <w:tblGrid>
        <w:gridCol w:w="884"/>
        <w:gridCol w:w="779"/>
        <w:gridCol w:w="781"/>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46"/>
        <w:gridCol w:w="146"/>
        <w:gridCol w:w="210"/>
        <w:gridCol w:w="211"/>
        <w:gridCol w:w="347"/>
        <w:gridCol w:w="109"/>
        <w:gridCol w:w="109"/>
        <w:gridCol w:w="109"/>
        <w:gridCol w:w="109"/>
        <w:gridCol w:w="109"/>
        <w:gridCol w:w="254"/>
        <w:gridCol w:w="257"/>
        <w:gridCol w:w="301"/>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357" w:type="dxa"/>
            <w:gridSpan w:val="8"/>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Staking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Custodial fee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Advisory fee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Other services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Total services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4"/>
              </w:rPr>
            </w:pPr>
            <w:r>
              <w:rPr>
                <w:rFonts w:ascii="Times New Roman;serif" w:hAnsi="Times New Roman;serif"/>
                <w:b w:val="false"/>
                <w:color w:val="000000"/>
                <w:sz w:val="14"/>
              </w:rPr>
              <w:t>nm - not meaningful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Credit card revenue increased by $21.5 million, or 185%, for the year ended December 31, 2025, primarily due to continued growth in the Gemini Credit Card user base and increased cardholder activity. Card Sign-Ups increased by approximately 109,000 during year ended December 31, 2025 contributing to higher transaction volumes and credit card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Staking revenue increased by $5.3 million, or 46%, for the year ended December 31, 2025 primarily due to higher levels of staking activity and increases in staked asset volumes. The increase was also driven by a higher average staking take rates. In addition, higher average prices for certain supported tokens contributed to increased staking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Custodial fee revenue increased by $1.7 million, or 25%, for the year ended December 31, 2025 primarily due to growth in average crypto assets under custody, driven by increased client activity and asset balances.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Advisory fee revenue for the year ended December 31, 2025 increased due to the addition of a new advisory revenue stream related to services provided to a strategic customer. Under this arrangement, we provide advisory services and receive warrants as consideration. Revenue is recognized over time as services are being provided based on the fair value of the warrants at grant date. This new revenue stream contributed to approximately $4.8 million of revenue for the year ended December 31,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16840"/>
                <wp:effectExtent l="0" t="0" r="0" b="0"/>
                <wp:wrapNone/>
                <wp:docPr id="126" name="Frame1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services revenue for the year ended December 31, 2025 increased primarily due to the introduction of new onchain offerings, including integrations and token listing services. These services generated approximately $1.2 million in revenue as we expanded our ecosystem partnerships and provided technical support for new token launches. Given the project-based nature of these services, revenue may fluctuate from period to period depending on the size of integration or listing engagements.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Other revenue</w:t>
      </w:r>
      <w:r>
        <w:rPr>
          <w:color w:val="000000"/>
        </w:rPr>
        <w:t xml:space="preserve"> </w:t>
      </w:r>
    </w:p>
    <w:tbl>
      <w:tblPr>
        <w:tblW w:w="8285" w:type="dxa"/>
        <w:jc w:val="left"/>
        <w:tblInd w:w="0" w:type="dxa"/>
        <w:tblLayout w:type="fixed"/>
        <w:tblCellMar>
          <w:top w:w="28" w:type="dxa"/>
          <w:left w:w="28" w:type="dxa"/>
          <w:bottom w:w="28" w:type="dxa"/>
          <w:right w:w="28" w:type="dxa"/>
        </w:tblCellMar>
      </w:tblPr>
      <w:tblGrid>
        <w:gridCol w:w="884"/>
        <w:gridCol w:w="779"/>
        <w:gridCol w:w="781"/>
        <w:gridCol w:w="109"/>
        <w:gridCol w:w="109"/>
        <w:gridCol w:w="115"/>
        <w:gridCol w:w="115"/>
        <w:gridCol w:w="207"/>
        <w:gridCol w:w="446"/>
        <w:gridCol w:w="115"/>
        <w:gridCol w:w="115"/>
        <w:gridCol w:w="115"/>
        <w:gridCol w:w="115"/>
        <w:gridCol w:w="207"/>
        <w:gridCol w:w="446"/>
        <w:gridCol w:w="115"/>
        <w:gridCol w:w="109"/>
        <w:gridCol w:w="109"/>
        <w:gridCol w:w="109"/>
        <w:gridCol w:w="196"/>
        <w:gridCol w:w="421"/>
        <w:gridCol w:w="109"/>
        <w:gridCol w:w="109"/>
        <w:gridCol w:w="109"/>
        <w:gridCol w:w="109"/>
        <w:gridCol w:w="146"/>
        <w:gridCol w:w="146"/>
        <w:gridCol w:w="165"/>
        <w:gridCol w:w="166"/>
        <w:gridCol w:w="347"/>
        <w:gridCol w:w="109"/>
        <w:gridCol w:w="109"/>
        <w:gridCol w:w="109"/>
        <w:gridCol w:w="109"/>
        <w:gridCol w:w="109"/>
        <w:gridCol w:w="158"/>
        <w:gridCol w:w="158"/>
        <w:gridCol w:w="301"/>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1"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162" w:type="dxa"/>
            <w:gridSpan w:val="8"/>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was no material change in Other revenue for the year ended December 31, 2025.</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Revenue not from contracts with customers</w:t>
      </w:r>
    </w:p>
    <w:tbl>
      <w:tblPr>
        <w:tblW w:w="10205" w:type="dxa"/>
        <w:jc w:val="left"/>
        <w:tblInd w:w="0" w:type="dxa"/>
        <w:tblLayout w:type="fixed"/>
        <w:tblCellMar>
          <w:top w:w="28" w:type="dxa"/>
          <w:left w:w="28" w:type="dxa"/>
          <w:bottom w:w="28" w:type="dxa"/>
          <w:right w:w="28" w:type="dxa"/>
        </w:tblCellMar>
      </w:tblPr>
      <w:tblGrid>
        <w:gridCol w:w="883"/>
        <w:gridCol w:w="778"/>
        <w:gridCol w:w="780"/>
        <w:gridCol w:w="143"/>
        <w:gridCol w:w="143"/>
        <w:gridCol w:w="143"/>
        <w:gridCol w:w="143"/>
        <w:gridCol w:w="257"/>
        <w:gridCol w:w="848"/>
        <w:gridCol w:w="143"/>
        <w:gridCol w:w="143"/>
        <w:gridCol w:w="143"/>
        <w:gridCol w:w="143"/>
        <w:gridCol w:w="257"/>
        <w:gridCol w:w="848"/>
        <w:gridCol w:w="143"/>
        <w:gridCol w:w="143"/>
        <w:gridCol w:w="143"/>
        <w:gridCol w:w="143"/>
        <w:gridCol w:w="257"/>
        <w:gridCol w:w="848"/>
        <w:gridCol w:w="143"/>
        <w:gridCol w:w="109"/>
        <w:gridCol w:w="109"/>
        <w:gridCol w:w="109"/>
        <w:gridCol w:w="146"/>
        <w:gridCol w:w="146"/>
        <w:gridCol w:w="210"/>
        <w:gridCol w:w="211"/>
        <w:gridCol w:w="347"/>
        <w:gridCol w:w="109"/>
        <w:gridCol w:w="109"/>
        <w:gridCol w:w="109"/>
        <w:gridCol w:w="109"/>
        <w:gridCol w:w="109"/>
        <w:gridCol w:w="177"/>
        <w:gridCol w:w="177"/>
        <w:gridCol w:w="304"/>
      </w:tblGrid>
      <w:tr>
        <w:trPr/>
        <w:tc>
          <w:tcPr>
            <w:tcW w:w="88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44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211"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203" w:type="dxa"/>
            <w:gridSpan w:val="8"/>
            <w:tcBorders/>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41"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8"/>
              </w:rPr>
              <w:t>Revenue not from contracts with customers</w:t>
            </w:r>
            <w:r>
              <w:rPr>
                <w:color w:val="000000"/>
              </w:rPr>
              <w:t xml:space="preserve"> </w:t>
            </w:r>
            <w:r>
              <w:rPr>
                <w:rFonts w:ascii="Times New Roman;serif" w:hAnsi="Times New Roman;serif"/>
                <w:b w:val="false"/>
                <w:color w:val="000000"/>
                <w:sz w:val="12"/>
              </w:rPr>
              <w:t>(1)</w:t>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11,672 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25,066 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interest</w:t>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not from contracts with customers</w:t>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16,538 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12,680 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26,568 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22"/>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Amounts represent revenue that is not accounted for as revenue from contracts with customers, as defined in ASC 606. Interest income is included within Net revenue and Corporate interest is included within Other revenue, respectively, on the consolidated statements of operations and comprehensive loss included in our consolidated financial statements included in Part II, Item 8 of this Annual Report on Form 10-K.</w:t>
            </w:r>
          </w:p>
        </w:tc>
        <w:tc>
          <w:tcPr>
            <w:tcW w:w="2590" w:type="dxa"/>
            <w:gridSpan w:val="16"/>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interest income decreased by $0.2 million, or 2%, due to a reduction in interest earned on GUSD reserves.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Corporate interest increased by $4.1 million for the year ended December 31, 2025, primarily driven by higher interest earned on operating accounts. Interest income on operating accounts increased by $3.3 million as a result of higher average cash balances throughout the year. The remaining $0.8 million increase was attributable to interest income on loans receivable, reflecting interest earned on $116.5 million of U.S. dollar collateral held at Galaxy from October through December 2025, prior to the collateral being applied to settle the loan in December following the expiration of the 90-day notice period. See “</w:t>
      </w:r>
      <w:r>
        <w:rPr>
          <w:rFonts w:ascii="Times New Roman;serif" w:hAnsi="Times New Roman;serif"/>
          <w:b w:val="false"/>
          <w:i/>
          <w:color w:val="000000"/>
          <w:sz w:val="20"/>
        </w:rPr>
        <w:t>Indebtedness and Other Funding Arrangements—Galaxy Lending Agreement.</w:t>
      </w:r>
      <w:r>
        <w:rPr>
          <w:color w:val="000000"/>
        </w:rPr>
        <w:t>”</w:t>
      </w:r>
    </w:p>
    <w:p>
      <w:pPr>
        <w:pStyle w:val="TextBody"/>
        <w:bidi w:val="0"/>
        <w:spacing w:before="0" w:after="0"/>
        <w:ind w:left="0" w:right="0" w:firstLine="504"/>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16840"/>
                <wp:effectExtent l="0" t="0" r="0" b="0"/>
                <wp:wrapNone/>
                <wp:docPr id="127" name="Frame1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Salaries and compensation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33"/>
        <w:gridCol w:w="963"/>
        <w:gridCol w:w="965"/>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46"/>
        <w:gridCol w:w="146"/>
        <w:gridCol w:w="254"/>
        <w:gridCol w:w="257"/>
        <w:gridCol w:w="347"/>
        <w:gridCol w:w="109"/>
        <w:gridCol w:w="109"/>
        <w:gridCol w:w="109"/>
        <w:gridCol w:w="109"/>
        <w:gridCol w:w="109"/>
        <w:gridCol w:w="203"/>
        <w:gridCol w:w="203"/>
        <w:gridCol w:w="303"/>
      </w:tblGrid>
      <w:tr>
        <w:trPr/>
        <w:tc>
          <w:tcPr>
            <w:tcW w:w="133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254" w:type="dxa"/>
            <w:gridSpan w:val="8"/>
            <w:tcBorders/>
          </w:tcPr>
          <w:p>
            <w:pPr>
              <w:pStyle w:val="TableContents"/>
              <w:bidi w:val="0"/>
              <w:spacing w:before="0" w:after="283"/>
              <w:jc w:val="left"/>
              <w:rPr>
                <w:sz w:val="4"/>
                <w:szCs w:val="4"/>
              </w:rPr>
            </w:pPr>
            <w:r>
              <w:rPr>
                <w:sz w:val="4"/>
                <w:szCs w:val="4"/>
              </w:rPr>
            </w:r>
          </w:p>
        </w:tc>
      </w:tr>
      <w:tr>
        <w:trPr/>
        <w:tc>
          <w:tcPr>
            <w:tcW w:w="3261"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benefits and personnel-related costs, excluding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1418 </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Total salaries and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130,487 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140,757 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salaries and compensation increased by $95.4 million, or 73%, primarily driven by the $79.4 million increase in stock-based compensation related to the vesting of certain RSUs for which the service-based condition had been met prior to the IPO and the liquidity-event related performance condition was met upon the commencement of trading of our Class A common stock on Nasdaq Global Select Market as well as a substantial number of new equity awards granted in connection with the IPO and additional equity awards granted during November 2025.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 contributing to the increase was a $30.9 million increase in salaries, payroll taxes and benefits due to headcount growth. These increases were partially offset by a $10.4 million decrease in cash-based bonuses, as prior year annual bonuses were settled in cash whereas current year bonuses were settled in equity and are therefore reflected in stock-based compensation expense. In addition, there was a $4.5 million decrease in severance costs resulting from the closure of our India office in 2024.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Technology</w:t>
      </w:r>
    </w:p>
    <w:p>
      <w:pPr>
        <w:pStyle w:val="TextBody"/>
        <w:bidi w:val="0"/>
        <w:spacing w:before="0" w:after="0"/>
        <w:jc w:val="both"/>
        <w:rPr/>
      </w:pPr>
      <w:r>
        <w:rPr/>
      </w:r>
    </w:p>
    <w:tbl>
      <w:tblPr>
        <w:tblW w:w="9745" w:type="dxa"/>
        <w:jc w:val="left"/>
        <w:tblInd w:w="0" w:type="dxa"/>
        <w:tblLayout w:type="fixed"/>
        <w:tblCellMar>
          <w:top w:w="28" w:type="dxa"/>
          <w:left w:w="28" w:type="dxa"/>
          <w:bottom w:w="28" w:type="dxa"/>
          <w:right w:w="28" w:type="dxa"/>
        </w:tblCellMar>
      </w:tblPr>
      <w:tblGrid>
        <w:gridCol w:w="1177"/>
        <w:gridCol w:w="1037"/>
        <w:gridCol w:w="1040"/>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46"/>
        <w:gridCol w:w="146"/>
        <w:gridCol w:w="165"/>
        <w:gridCol w:w="166"/>
        <w:gridCol w:w="347"/>
        <w:gridCol w:w="109"/>
        <w:gridCol w:w="109"/>
        <w:gridCol w:w="109"/>
        <w:gridCol w:w="109"/>
        <w:gridCol w:w="109"/>
        <w:gridCol w:w="201"/>
        <w:gridCol w:w="204"/>
        <w:gridCol w:w="301"/>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251" w:type="dxa"/>
            <w:gridSpan w:val="8"/>
            <w:tcBorders/>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Cloud computing and infrastructure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and impairment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Total 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77,127 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Technology expenses increased by $13.5 million, or 21%, for the year ended December 31, 2025, primarily due to higher cloud computing costs driven by increased transaction activity and platform growth. Cloud computing expenses and equipment-related costs increased by $15.2 million as a result of greater computing capacity and usage to support higher volumes. These increases were partially offset by a $1.7 million decrease in amortization expense and impairment, reflecting the full amortization of certain capitalized technology assets in prior periods.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16840"/>
                <wp:effectExtent l="0" t="0" r="0" b="0"/>
                <wp:wrapNone/>
                <wp:docPr id="128" name="Frame1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before="0" w:after="0"/>
        <w:jc w:val="both"/>
        <w:rPr/>
      </w:pPr>
      <w:r>
        <w:rPr/>
      </w:r>
    </w:p>
    <w:tbl>
      <w:tblPr>
        <w:tblW w:w="9700" w:type="dxa"/>
        <w:jc w:val="left"/>
        <w:tblInd w:w="0" w:type="dxa"/>
        <w:tblLayout w:type="fixed"/>
        <w:tblCellMar>
          <w:top w:w="28" w:type="dxa"/>
          <w:left w:w="28" w:type="dxa"/>
          <w:bottom w:w="28" w:type="dxa"/>
          <w:right w:w="28" w:type="dxa"/>
        </w:tblCellMar>
      </w:tblPr>
      <w:tblGrid>
        <w:gridCol w:w="1128"/>
        <w:gridCol w:w="994"/>
        <w:gridCol w:w="997"/>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46"/>
        <w:gridCol w:w="146"/>
        <w:gridCol w:w="165"/>
        <w:gridCol w:w="166"/>
        <w:gridCol w:w="347"/>
        <w:gridCol w:w="109"/>
        <w:gridCol w:w="109"/>
        <w:gridCol w:w="109"/>
        <w:gridCol w:w="109"/>
        <w:gridCol w:w="109"/>
        <w:gridCol w:w="201"/>
        <w:gridCol w:w="204"/>
        <w:gridCol w:w="301"/>
      </w:tblGrid>
      <w:tr>
        <w:trPr/>
        <w:tc>
          <w:tcPr>
            <w:tcW w:w="112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251" w:type="dxa"/>
            <w:gridSpan w:val="8"/>
            <w:tcBorders/>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Legal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Other corporate overhead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Total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4"/>
              </w:rPr>
            </w:pPr>
            <w:r>
              <w:rPr>
                <w:rFonts w:ascii="Times New Roman;serif" w:hAnsi="Times New Roman;serif"/>
                <w:b w:val="false"/>
                <w:color w:val="000000"/>
                <w:sz w:val="14"/>
              </w:rPr>
              <w:t>nm - not meaningful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$26.2 million, or 51%, for the year ended December 31, 2025 primarily due to a $13.2 million increase in professional services to support the preparation of our IPO and meeting compliance and reporting obligations. Legal expenses increased by $6.3 million, largely reflecting reversals of accrued litigation losses in the prior year, which had reduced legal expenses in the prior year. Additional increases included $2.1 million in credit card issuance costs related to the production and distribution of physical cards, $1.0 million in real estate expenses driven by new lease arrangements, and a $3.6 million increase in general corporate overhead, including depreciation, amortization and impairment, to support the growth of the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Transaction losses</w:t>
      </w:r>
    </w:p>
    <w:p>
      <w:pPr>
        <w:pStyle w:val="TextBody"/>
        <w:bidi w:val="0"/>
        <w:spacing w:before="0" w:after="0"/>
        <w:jc w:val="both"/>
        <w:rPr/>
      </w:pPr>
      <w:r>
        <w:rPr/>
      </w:r>
    </w:p>
    <w:tbl>
      <w:tblPr>
        <w:tblW w:w="10180" w:type="dxa"/>
        <w:jc w:val="left"/>
        <w:tblInd w:w="0" w:type="dxa"/>
        <w:tblLayout w:type="fixed"/>
        <w:tblCellMar>
          <w:top w:w="28" w:type="dxa"/>
          <w:left w:w="28" w:type="dxa"/>
          <w:bottom w:w="28" w:type="dxa"/>
          <w:right w:w="28" w:type="dxa"/>
        </w:tblCellMar>
      </w:tblPr>
      <w:tblGrid>
        <w:gridCol w:w="1307"/>
        <w:gridCol w:w="1152"/>
        <w:gridCol w:w="1155"/>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46"/>
        <w:gridCol w:w="146"/>
        <w:gridCol w:w="203"/>
        <w:gridCol w:w="203"/>
        <w:gridCol w:w="347"/>
        <w:gridCol w:w="109"/>
        <w:gridCol w:w="109"/>
        <w:gridCol w:w="109"/>
        <w:gridCol w:w="109"/>
        <w:gridCol w:w="109"/>
        <w:gridCol w:w="201"/>
        <w:gridCol w:w="204"/>
        <w:gridCol w:w="301"/>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251" w:type="dxa"/>
            <w:gridSpan w:val="8"/>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expected credit losses (credit cards)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ACH and other transaction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Total transaction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transaction losses increased by $1.4 million, or 7%, driven by a $4.4 million increase in chargebacks, operational losses and certain isolated incidents. This increase was partially offset by a $3.0 million lower provision for transaction losses on credit card receivables, reflecting improved loss experience and credit performance of the credit card portfolio.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before="0" w:after="0"/>
        <w:jc w:val="both"/>
        <w:rPr/>
      </w:pPr>
      <w:r>
        <w:rPr/>
      </w:r>
    </w:p>
    <w:tbl>
      <w:tblPr>
        <w:tblW w:w="10002" w:type="dxa"/>
        <w:jc w:val="left"/>
        <w:tblInd w:w="0" w:type="dxa"/>
        <w:tblLayout w:type="fixed"/>
        <w:tblCellMar>
          <w:top w:w="28" w:type="dxa"/>
          <w:left w:w="28" w:type="dxa"/>
          <w:bottom w:w="28" w:type="dxa"/>
          <w:right w:w="28" w:type="dxa"/>
        </w:tblCellMar>
      </w:tblPr>
      <w:tblGrid>
        <w:gridCol w:w="1232"/>
        <w:gridCol w:w="1085"/>
        <w:gridCol w:w="1088"/>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46"/>
        <w:gridCol w:w="146"/>
        <w:gridCol w:w="210"/>
        <w:gridCol w:w="211"/>
        <w:gridCol w:w="347"/>
        <w:gridCol w:w="109"/>
        <w:gridCol w:w="109"/>
        <w:gridCol w:w="109"/>
        <w:gridCol w:w="109"/>
        <w:gridCol w:w="109"/>
        <w:gridCol w:w="210"/>
        <w:gridCol w:w="211"/>
        <w:gridCol w:w="301"/>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267" w:type="dxa"/>
            <w:gridSpan w:val="8"/>
            <w:tcBorders/>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acquisition and brand spend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rewards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Marketing promotional and referral incentives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Other 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Total 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16840"/>
                <wp:effectExtent l="0" t="0" r="0" b="0"/>
                <wp:wrapNone/>
                <wp:docPr id="129" name="Frame1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$74.6 million, or 330%, for the year ended December 31, 2025, reflecting a strategic acceleration of spend following reduced investments in the prior year. The increase was primarily driven by a $38.6 million increase in customer acquisition and brand marketing expenses, including agency fees, sponsorships, paid media, out-of-home and billboard advertising, and targeted event-based marketing at major digital asset and blockchain industry conferences, as the Company focused on expanding brand awareness and customer acquisition in core markets.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marketing promotional and referral incentives increased by $18.7 million, driven by the launch of new referral programs, and credit card rewards expense increased by $17.3 million, consistent with growth in credit card usage and related revenue. The remaining increase was attributable to $0.3 million of other sales and marketing costs.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Transaction processing</w:t>
      </w:r>
    </w:p>
    <w:p>
      <w:pPr>
        <w:pStyle w:val="TextBody"/>
        <w:bidi w:val="0"/>
        <w:spacing w:before="0" w:after="0"/>
        <w:jc w:val="both"/>
        <w:rPr/>
      </w:pPr>
      <w:r>
        <w:rPr/>
      </w:r>
    </w:p>
    <w:tbl>
      <w:tblPr>
        <w:tblW w:w="9025" w:type="dxa"/>
        <w:jc w:val="left"/>
        <w:tblInd w:w="0" w:type="dxa"/>
        <w:tblLayout w:type="fixed"/>
        <w:tblCellMar>
          <w:top w:w="28" w:type="dxa"/>
          <w:left w:w="28" w:type="dxa"/>
          <w:bottom w:w="28" w:type="dxa"/>
          <w:right w:w="28" w:type="dxa"/>
        </w:tblCellMar>
      </w:tblPr>
      <w:tblGrid>
        <w:gridCol w:w="884"/>
        <w:gridCol w:w="779"/>
        <w:gridCol w:w="781"/>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46"/>
        <w:gridCol w:w="146"/>
        <w:gridCol w:w="209"/>
        <w:gridCol w:w="212"/>
        <w:gridCol w:w="347"/>
        <w:gridCol w:w="109"/>
        <w:gridCol w:w="109"/>
        <w:gridCol w:w="109"/>
        <w:gridCol w:w="109"/>
        <w:gridCol w:w="109"/>
        <w:gridCol w:w="201"/>
        <w:gridCol w:w="204"/>
        <w:gridCol w:w="301"/>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251" w:type="dxa"/>
            <w:gridSpan w:val="8"/>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Staking rewards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Banking and compliance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Processing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Minting and mining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Total transaction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4"/>
              </w:rPr>
            </w:pPr>
            <w:r>
              <w:rPr>
                <w:rFonts w:ascii="Times New Roman;serif" w:hAnsi="Times New Roman;serif"/>
                <w:b w:val="false"/>
                <w:color w:val="000000"/>
                <w:sz w:val="14"/>
              </w:rPr>
              <w:t>nm - not meaningful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Transaction processing expenses increased $6.2 million, or 31%, for the year ended December 31, 2025 primarily due to $4.3 million higher banking and compliance service fees, and a $3.6 million increase in staking rewards, reflecting growth in staking activity and related revenue. In addition, processing fees increased by $0.6 million. These increases were partially offset by a $2.2 million decrease in mining and minting-related fees, driven in part by lower average network gas prices, which reduced transaction costs associated with exchange activity.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before="0" w:after="0"/>
        <w:ind w:left="0" w:right="0" w:firstLine="504"/>
        <w:jc w:val="both"/>
        <w:rPr/>
      </w:pPr>
      <w:r>
        <w:rPr/>
      </w:r>
    </w:p>
    <w:p>
      <w:pPr>
        <w:pStyle w:val="TextBody"/>
        <w:bidi w:val="0"/>
        <w:spacing w:lineRule="auto" w:line="288" w:before="0" w:after="0"/>
        <w:ind w:left="0" w:right="0" w:firstLine="504"/>
        <w:jc w:val="both"/>
        <w:rPr>
          <w:rFonts w:ascii="Times New Roman;serif" w:hAnsi="Times New Roman;serif"/>
          <w:b w:val="false"/>
          <w:i/>
          <w:color w:val="000000"/>
          <w:sz w:val="20"/>
        </w:rPr>
      </w:pPr>
      <w:r>
        <w:rPr>
          <w:rFonts w:ascii="Times New Roman;serif" w:hAnsi="Times New Roman;serif"/>
          <w:b w:val="false"/>
          <w:i/>
          <w:color w:val="000000"/>
          <w:sz w:val="20"/>
        </w:rPr>
        <w:t>Realized and unrealized gain (loss) on crypto assets and receivable, crypto assets pledged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73"/>
        <w:gridCol w:w="1122"/>
        <w:gridCol w:w="1125"/>
        <w:gridCol w:w="109"/>
        <w:gridCol w:w="109"/>
        <w:gridCol w:w="109"/>
        <w:gridCol w:w="109"/>
        <w:gridCol w:w="196"/>
        <w:gridCol w:w="599"/>
        <w:gridCol w:w="109"/>
        <w:gridCol w:w="109"/>
        <w:gridCol w:w="109"/>
        <w:gridCol w:w="109"/>
        <w:gridCol w:w="196"/>
        <w:gridCol w:w="736"/>
        <w:gridCol w:w="109"/>
        <w:gridCol w:w="109"/>
        <w:gridCol w:w="109"/>
        <w:gridCol w:w="109"/>
        <w:gridCol w:w="196"/>
        <w:gridCol w:w="736"/>
        <w:gridCol w:w="109"/>
        <w:gridCol w:w="109"/>
        <w:gridCol w:w="109"/>
        <w:gridCol w:w="109"/>
        <w:gridCol w:w="146"/>
        <w:gridCol w:w="146"/>
        <w:gridCol w:w="232"/>
        <w:gridCol w:w="232"/>
        <w:gridCol w:w="347"/>
        <w:gridCol w:w="109"/>
        <w:gridCol w:w="109"/>
        <w:gridCol w:w="109"/>
        <w:gridCol w:w="109"/>
        <w:gridCol w:w="109"/>
        <w:gridCol w:w="165"/>
        <w:gridCol w:w="166"/>
        <w:gridCol w:w="303"/>
      </w:tblGrid>
      <w:tr>
        <w:trPr/>
        <w:tc>
          <w:tcPr>
            <w:tcW w:w="127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52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0"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179" w:type="dxa"/>
            <w:gridSpan w:val="8"/>
            <w:tcBorders/>
          </w:tcPr>
          <w:p>
            <w:pPr>
              <w:pStyle w:val="TableContents"/>
              <w:bidi w:val="0"/>
              <w:spacing w:before="0" w:after="283"/>
              <w:jc w:val="left"/>
              <w:rPr>
                <w:sz w:val="4"/>
                <w:szCs w:val="4"/>
              </w:rPr>
            </w:pPr>
            <w:r>
              <w:rPr>
                <w:sz w:val="4"/>
                <w:szCs w:val="4"/>
              </w:rPr>
            </w:r>
          </w:p>
        </w:tc>
      </w:tr>
      <w:tr>
        <w:trPr/>
        <w:tc>
          <w:tcPr>
            <w:tcW w:w="3520"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gain (loss) on crypto assets and receivable, crypto assets pledged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realized and unrealized gain (loss) on crypto assets and receivable, crypto assets pledged decreased by $464.1 million, or 100%, reflecting a change from a $462.9 million gain in the prior year to a $1.3 million loss in the current year. This change was driven by both lower realized gains and higher unrealized losses. Realized gains declined primarily due to lower loan repayments of borrowed crypto assets, and less favorable crypto asset price movements compared to the prior year. In addition, declines in BTC and ETH prices during the year resulted in an unrealized loss on crypto assets, compared to significant unrealized gains in the prior year when crypto prices increased substantially.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16840"/>
                <wp:effectExtent l="0" t="0" r="0" b="0"/>
                <wp:wrapNone/>
                <wp:docPr id="130" name="Frame1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Realized and unrealized gain (loss) on related party crypto loans</w:t>
      </w:r>
    </w:p>
    <w:p>
      <w:pPr>
        <w:pStyle w:val="TextBody"/>
        <w:bidi w:val="0"/>
        <w:spacing w:before="0" w:after="0"/>
        <w:ind w:left="0" w:right="0" w:firstLine="504"/>
        <w:jc w:val="both"/>
        <w:rPr/>
      </w:pPr>
      <w:r>
        <w:rPr/>
      </w:r>
    </w:p>
    <w:tbl>
      <w:tblPr>
        <w:tblW w:w="10205" w:type="dxa"/>
        <w:jc w:val="left"/>
        <w:tblInd w:w="0" w:type="dxa"/>
        <w:tblLayout w:type="fixed"/>
        <w:tblCellMar>
          <w:top w:w="28" w:type="dxa"/>
          <w:left w:w="28" w:type="dxa"/>
          <w:bottom w:w="28" w:type="dxa"/>
          <w:right w:w="28" w:type="dxa"/>
        </w:tblCellMar>
      </w:tblPr>
      <w:tblGrid>
        <w:gridCol w:w="1244"/>
        <w:gridCol w:w="1096"/>
        <w:gridCol w:w="1099"/>
        <w:gridCol w:w="109"/>
        <w:gridCol w:w="109"/>
        <w:gridCol w:w="109"/>
        <w:gridCol w:w="109"/>
        <w:gridCol w:w="196"/>
        <w:gridCol w:w="701"/>
        <w:gridCol w:w="109"/>
        <w:gridCol w:w="109"/>
        <w:gridCol w:w="109"/>
        <w:gridCol w:w="109"/>
        <w:gridCol w:w="196"/>
        <w:gridCol w:w="791"/>
        <w:gridCol w:w="109"/>
        <w:gridCol w:w="109"/>
        <w:gridCol w:w="109"/>
        <w:gridCol w:w="109"/>
        <w:gridCol w:w="196"/>
        <w:gridCol w:w="791"/>
        <w:gridCol w:w="109"/>
        <w:gridCol w:w="109"/>
        <w:gridCol w:w="109"/>
        <w:gridCol w:w="109"/>
        <w:gridCol w:w="146"/>
        <w:gridCol w:w="146"/>
        <w:gridCol w:w="165"/>
        <w:gridCol w:w="166"/>
        <w:gridCol w:w="347"/>
        <w:gridCol w:w="109"/>
        <w:gridCol w:w="109"/>
        <w:gridCol w:w="109"/>
        <w:gridCol w:w="109"/>
        <w:gridCol w:w="109"/>
        <w:gridCol w:w="165"/>
        <w:gridCol w:w="166"/>
        <w:gridCol w:w="305"/>
      </w:tblGrid>
      <w:tr>
        <w:trPr/>
        <w:tc>
          <w:tcPr>
            <w:tcW w:w="124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439"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181" w:type="dxa"/>
            <w:gridSpan w:val="8"/>
            <w:tcBorders/>
          </w:tcPr>
          <w:p>
            <w:pPr>
              <w:pStyle w:val="TableContents"/>
              <w:bidi w:val="0"/>
              <w:spacing w:before="0" w:after="283"/>
              <w:jc w:val="left"/>
              <w:rPr>
                <w:sz w:val="4"/>
                <w:szCs w:val="4"/>
              </w:rPr>
            </w:pPr>
            <w:r>
              <w:rPr>
                <w:sz w:val="4"/>
                <w:szCs w:val="4"/>
              </w:rPr>
            </w:r>
          </w:p>
        </w:tc>
      </w:tr>
      <w:tr>
        <w:trPr/>
        <w:tc>
          <w:tcPr>
            <w:tcW w:w="343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gain (loss) on related party crypto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(417,335)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realized and unrealized loss on related party crypto loans improved by $385.2 million, reflecting a change from a $417.3 million loss in the prior year to a $32.1 million loss in the current year. The improvement was primarily driven by changes in crypto asset prices and lower loan repayment volumes relative to the prior year. Realized losses decreased due to fewer loan repayments during the year, while unrealized gains increased as declines in BTC and ETH prices during 2025 resulted in gains on outstanding crypto asset loans, compared to significant unrealized losses in the prior year when crypto prices increased substantially.</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Change in fair value on related party convertible notes and related party loans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65"/>
        <w:gridCol w:w="1115"/>
        <w:gridCol w:w="1118"/>
        <w:gridCol w:w="109"/>
        <w:gridCol w:w="109"/>
        <w:gridCol w:w="109"/>
        <w:gridCol w:w="109"/>
        <w:gridCol w:w="196"/>
        <w:gridCol w:w="802"/>
        <w:gridCol w:w="109"/>
        <w:gridCol w:w="109"/>
        <w:gridCol w:w="109"/>
        <w:gridCol w:w="109"/>
        <w:gridCol w:w="196"/>
        <w:gridCol w:w="712"/>
        <w:gridCol w:w="109"/>
        <w:gridCol w:w="109"/>
        <w:gridCol w:w="109"/>
        <w:gridCol w:w="109"/>
        <w:gridCol w:w="196"/>
        <w:gridCol w:w="622"/>
        <w:gridCol w:w="109"/>
        <w:gridCol w:w="109"/>
        <w:gridCol w:w="109"/>
        <w:gridCol w:w="109"/>
        <w:gridCol w:w="146"/>
        <w:gridCol w:w="146"/>
        <w:gridCol w:w="165"/>
        <w:gridCol w:w="166"/>
        <w:gridCol w:w="347"/>
        <w:gridCol w:w="109"/>
        <w:gridCol w:w="109"/>
        <w:gridCol w:w="109"/>
        <w:gridCol w:w="109"/>
        <w:gridCol w:w="109"/>
        <w:gridCol w:w="210"/>
        <w:gridCol w:w="211"/>
        <w:gridCol w:w="303"/>
      </w:tblGrid>
      <w:tr>
        <w:trPr/>
        <w:tc>
          <w:tcPr>
            <w:tcW w:w="126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498"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269" w:type="dxa"/>
            <w:gridSpan w:val="8"/>
            <w:tcBorders/>
          </w:tcPr>
          <w:p>
            <w:pPr>
              <w:pStyle w:val="TableContents"/>
              <w:bidi w:val="0"/>
              <w:spacing w:before="0" w:after="283"/>
              <w:jc w:val="left"/>
              <w:rPr>
                <w:sz w:val="4"/>
                <w:szCs w:val="4"/>
              </w:rPr>
            </w:pPr>
            <w:r>
              <w:rPr>
                <w:sz w:val="4"/>
                <w:szCs w:val="4"/>
              </w:rPr>
            </w:r>
          </w:p>
        </w:tc>
      </w:tr>
      <w:tr>
        <w:trPr/>
        <w:tc>
          <w:tcPr>
            <w:tcW w:w="3498"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4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4"/>
              </w:rPr>
            </w:pPr>
            <w:r>
              <w:rPr>
                <w:rFonts w:ascii="Times New Roman;serif" w:hAnsi="Times New Roman;serif"/>
                <w:b w:val="false"/>
                <w:color w:val="000000"/>
                <w:sz w:val="14"/>
              </w:rPr>
              <w:t>nm - not meaningful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 in fair value on related party convertible notes and related party loans for the year ended December 31, 2025, represents the final fair value adjustment prior to conversion in connection with the IPO, at which time related party convertible notes and related party convertible term loans were converted into equity. The related party loans were not subject to fair value remeasurement in the prior year period since the instruments did not contain a conversion feature to equity at that time.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Interest expense on related party loans</w:t>
      </w:r>
    </w:p>
    <w:p>
      <w:pPr>
        <w:pStyle w:val="TextBody"/>
        <w:bidi w:val="0"/>
        <w:spacing w:before="0" w:after="0"/>
        <w:jc w:val="both"/>
        <w:rPr/>
      </w:pPr>
      <w:r>
        <w:rPr/>
      </w:r>
    </w:p>
    <w:tbl>
      <w:tblPr>
        <w:tblW w:w="9404" w:type="dxa"/>
        <w:jc w:val="left"/>
        <w:tblInd w:w="0" w:type="dxa"/>
        <w:tblLayout w:type="fixed"/>
        <w:tblCellMar>
          <w:top w:w="28" w:type="dxa"/>
          <w:left w:w="28" w:type="dxa"/>
          <w:bottom w:w="28" w:type="dxa"/>
          <w:right w:w="28" w:type="dxa"/>
        </w:tblCellMar>
      </w:tblPr>
      <w:tblGrid>
        <w:gridCol w:w="1020"/>
        <w:gridCol w:w="899"/>
        <w:gridCol w:w="90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09"/>
        <w:gridCol w:w="109"/>
        <w:gridCol w:w="111"/>
        <w:gridCol w:w="111"/>
        <w:gridCol w:w="111"/>
        <w:gridCol w:w="111"/>
        <w:gridCol w:w="165"/>
        <w:gridCol w:w="166"/>
        <w:gridCol w:w="265"/>
        <w:gridCol w:w="109"/>
        <w:gridCol w:w="109"/>
        <w:gridCol w:w="109"/>
        <w:gridCol w:w="109"/>
        <w:gridCol w:w="109"/>
        <w:gridCol w:w="210"/>
        <w:gridCol w:w="211"/>
        <w:gridCol w:w="301"/>
      </w:tblGrid>
      <w:tr>
        <w:trPr/>
        <w:tc>
          <w:tcPr>
            <w:tcW w:w="102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267" w:type="dxa"/>
            <w:gridSpan w:val="8"/>
            <w:tcBorders/>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related party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on related party loans increased by $10.4 million, or 24%, for year ended December 31, 2025, primarily due to higher average outstanding principal balances on such loans, compared with the year ended December 31, 2024.</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Interest expense on third party loans</w:t>
      </w:r>
    </w:p>
    <w:p>
      <w:pPr>
        <w:pStyle w:val="TextBody"/>
        <w:bidi w:val="0"/>
        <w:spacing w:before="0" w:after="0"/>
        <w:jc w:val="both"/>
        <w:rPr/>
      </w:pPr>
      <w:r>
        <w:rPr/>
      </w:r>
    </w:p>
    <w:tbl>
      <w:tblPr>
        <w:tblW w:w="9237" w:type="dxa"/>
        <w:jc w:val="left"/>
        <w:tblInd w:w="0" w:type="dxa"/>
        <w:tblLayout w:type="fixed"/>
        <w:tblCellMar>
          <w:top w:w="28" w:type="dxa"/>
          <w:left w:w="28" w:type="dxa"/>
          <w:bottom w:w="28" w:type="dxa"/>
          <w:right w:w="28" w:type="dxa"/>
        </w:tblCellMar>
      </w:tblPr>
      <w:tblGrid>
        <w:gridCol w:w="971"/>
        <w:gridCol w:w="856"/>
        <w:gridCol w:w="858"/>
        <w:gridCol w:w="109"/>
        <w:gridCol w:w="109"/>
        <w:gridCol w:w="109"/>
        <w:gridCol w:w="109"/>
        <w:gridCol w:w="196"/>
        <w:gridCol w:w="721"/>
        <w:gridCol w:w="109"/>
        <w:gridCol w:w="109"/>
        <w:gridCol w:w="109"/>
        <w:gridCol w:w="109"/>
        <w:gridCol w:w="196"/>
        <w:gridCol w:w="721"/>
        <w:gridCol w:w="109"/>
        <w:gridCol w:w="109"/>
        <w:gridCol w:w="109"/>
        <w:gridCol w:w="109"/>
        <w:gridCol w:w="196"/>
        <w:gridCol w:w="631"/>
        <w:gridCol w:w="109"/>
        <w:gridCol w:w="109"/>
        <w:gridCol w:w="109"/>
        <w:gridCol w:w="109"/>
        <w:gridCol w:w="146"/>
        <w:gridCol w:w="146"/>
        <w:gridCol w:w="165"/>
        <w:gridCol w:w="166"/>
        <w:gridCol w:w="347"/>
        <w:gridCol w:w="109"/>
        <w:gridCol w:w="109"/>
        <w:gridCol w:w="109"/>
        <w:gridCol w:w="109"/>
        <w:gridCol w:w="109"/>
        <w:gridCol w:w="165"/>
        <w:gridCol w:w="166"/>
        <w:gridCol w:w="301"/>
      </w:tblGrid>
      <w:tr>
        <w:trPr/>
        <w:tc>
          <w:tcPr>
            <w:tcW w:w="97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177" w:type="dxa"/>
            <w:gridSpan w:val="8"/>
            <w:tcBorders/>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third party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on third party loans increased by $3.5 million, or 28%, for year ended December 31, 2025, primarily due $3.2 million of interest expense related to the NYDIG MRA (as defined below). The remaining increase was mainly due to higher average outstanding principal balances on third party loans compared to the same period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16840"/>
                <wp:effectExtent l="0" t="0" r="0" b="0"/>
                <wp:wrapNone/>
                <wp:docPr id="131" name="Frame1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Interest expense on funding debt</w:t>
      </w:r>
    </w:p>
    <w:p>
      <w:pPr>
        <w:pStyle w:val="TextBody"/>
        <w:bidi w:val="0"/>
        <w:spacing w:before="0" w:after="0"/>
        <w:jc w:val="both"/>
        <w:rPr/>
      </w:pPr>
      <w:r>
        <w:rPr/>
      </w:r>
    </w:p>
    <w:tbl>
      <w:tblPr>
        <w:tblW w:w="8206" w:type="dxa"/>
        <w:jc w:val="left"/>
        <w:tblInd w:w="0" w:type="dxa"/>
        <w:tblLayout w:type="fixed"/>
        <w:tblCellMar>
          <w:top w:w="28" w:type="dxa"/>
          <w:left w:w="28" w:type="dxa"/>
          <w:bottom w:w="28" w:type="dxa"/>
          <w:right w:w="28" w:type="dxa"/>
        </w:tblCellMar>
      </w:tblPr>
      <w:tblGrid>
        <w:gridCol w:w="884"/>
        <w:gridCol w:w="779"/>
        <w:gridCol w:w="781"/>
        <w:gridCol w:w="109"/>
        <w:gridCol w:w="109"/>
        <w:gridCol w:w="109"/>
        <w:gridCol w:w="109"/>
        <w:gridCol w:w="196"/>
        <w:gridCol w:w="631"/>
        <w:gridCol w:w="109"/>
        <w:gridCol w:w="109"/>
        <w:gridCol w:w="109"/>
        <w:gridCol w:w="109"/>
        <w:gridCol w:w="196"/>
        <w:gridCol w:w="406"/>
        <w:gridCol w:w="109"/>
        <w:gridCol w:w="109"/>
        <w:gridCol w:w="109"/>
        <w:gridCol w:w="109"/>
        <w:gridCol w:w="196"/>
        <w:gridCol w:w="406"/>
        <w:gridCol w:w="109"/>
        <w:gridCol w:w="109"/>
        <w:gridCol w:w="109"/>
        <w:gridCol w:w="109"/>
        <w:gridCol w:w="186"/>
        <w:gridCol w:w="186"/>
        <w:gridCol w:w="186"/>
        <w:gridCol w:w="186"/>
        <w:gridCol w:w="187"/>
        <w:gridCol w:w="109"/>
        <w:gridCol w:w="109"/>
        <w:gridCol w:w="109"/>
        <w:gridCol w:w="109"/>
        <w:gridCol w:w="109"/>
        <w:gridCol w:w="149"/>
        <w:gridCol w:w="149"/>
        <w:gridCol w:w="213"/>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2"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56" w:type="dxa"/>
            <w:gridSpan w:val="8"/>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funding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4"/>
              </w:rPr>
            </w:pPr>
            <w:r>
              <w:rPr>
                <w:rFonts w:ascii="Times New Roman;serif" w:hAnsi="Times New Roman;serif"/>
                <w:b w:val="false"/>
                <w:color w:val="000000"/>
                <w:sz w:val="14"/>
              </w:rPr>
              <w:t>nm - not meaningful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on funding debt for the year ended December 31, 2025, represents interest on the Ripple Credit Agreement (as defined below), a funding arrangement entered into in the current year to finance our credit card receivables. Accordingly, there was no comparable interest expense in the prior year.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before="0" w:after="0"/>
        <w:jc w:val="both"/>
        <w:rPr/>
      </w:pPr>
      <w:r>
        <w:rPr/>
      </w:r>
    </w:p>
    <w:tbl>
      <w:tblPr>
        <w:tblW w:w="8966" w:type="dxa"/>
        <w:jc w:val="left"/>
        <w:tblInd w:w="0" w:type="dxa"/>
        <w:tblLayout w:type="fixed"/>
        <w:tblCellMar>
          <w:top w:w="28" w:type="dxa"/>
          <w:left w:w="28" w:type="dxa"/>
          <w:bottom w:w="28" w:type="dxa"/>
          <w:right w:w="28" w:type="dxa"/>
        </w:tblCellMar>
      </w:tblPr>
      <w:tblGrid>
        <w:gridCol w:w="895"/>
        <w:gridCol w:w="789"/>
        <w:gridCol w:w="791"/>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09"/>
        <w:gridCol w:w="109"/>
        <w:gridCol w:w="109"/>
        <w:gridCol w:w="109"/>
        <w:gridCol w:w="146"/>
        <w:gridCol w:w="146"/>
        <w:gridCol w:w="246"/>
        <w:gridCol w:w="249"/>
        <w:gridCol w:w="347"/>
        <w:gridCol w:w="109"/>
        <w:gridCol w:w="109"/>
        <w:gridCol w:w="109"/>
        <w:gridCol w:w="109"/>
        <w:gridCol w:w="109"/>
        <w:gridCol w:w="210"/>
        <w:gridCol w:w="211"/>
        <w:gridCol w:w="301"/>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267" w:type="dxa"/>
            <w:gridSpan w:val="8"/>
            <w:tcBorders/>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Market-driven valuation changes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Non-recurring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decreased by $49.3 million, or 90%, primarily due to the non-recurrence of a $48.8 million gain recognized in the prior year related to crypto assets used to prefund payments to Earn customers, for which we received reimbursements of the amounts prefunded on their behalf.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Market-driven valuation changes, including unrealized foreign currency translation gains and losses, gains and losses on derivatives, gain on the conversion of convertible notes and term loans and changes in the fair value of strategic investments and warrants, resulted in a $6.9 million gain in the current year, compared to a $3.5 million gain the prior year. The remaining change reflects normal period-to-period variability in other operating-related items.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 Benefit (Provision)</w:t>
      </w:r>
    </w:p>
    <w:p>
      <w:pPr>
        <w:pStyle w:val="TextBody"/>
        <w:bidi w:val="0"/>
        <w:spacing w:before="0" w:after="0"/>
        <w:ind w:left="0" w:right="0" w:firstLine="504"/>
        <w:jc w:val="both"/>
        <w:rPr/>
      </w:pPr>
      <w:r>
        <w:rPr/>
      </w:r>
    </w:p>
    <w:tbl>
      <w:tblPr>
        <w:tblW w:w="8921" w:type="dxa"/>
        <w:jc w:val="left"/>
        <w:tblInd w:w="0" w:type="dxa"/>
        <w:tblLayout w:type="fixed"/>
        <w:tblCellMar>
          <w:top w:w="28" w:type="dxa"/>
          <w:left w:w="28" w:type="dxa"/>
          <w:bottom w:w="28" w:type="dxa"/>
          <w:right w:w="28" w:type="dxa"/>
        </w:tblCellMar>
      </w:tblPr>
      <w:tblGrid>
        <w:gridCol w:w="884"/>
        <w:gridCol w:w="779"/>
        <w:gridCol w:w="781"/>
        <w:gridCol w:w="109"/>
        <w:gridCol w:w="109"/>
        <w:gridCol w:w="109"/>
        <w:gridCol w:w="109"/>
        <w:gridCol w:w="196"/>
        <w:gridCol w:w="556"/>
        <w:gridCol w:w="109"/>
        <w:gridCol w:w="109"/>
        <w:gridCol w:w="109"/>
        <w:gridCol w:w="109"/>
        <w:gridCol w:w="196"/>
        <w:gridCol w:w="631"/>
        <w:gridCol w:w="109"/>
        <w:gridCol w:w="109"/>
        <w:gridCol w:w="109"/>
        <w:gridCol w:w="109"/>
        <w:gridCol w:w="196"/>
        <w:gridCol w:w="556"/>
        <w:gridCol w:w="109"/>
        <w:gridCol w:w="109"/>
        <w:gridCol w:w="109"/>
        <w:gridCol w:w="109"/>
        <w:gridCol w:w="146"/>
        <w:gridCol w:w="146"/>
        <w:gridCol w:w="210"/>
        <w:gridCol w:w="211"/>
        <w:gridCol w:w="347"/>
        <w:gridCol w:w="109"/>
        <w:gridCol w:w="109"/>
        <w:gridCol w:w="109"/>
        <w:gridCol w:w="109"/>
        <w:gridCol w:w="109"/>
        <w:gridCol w:w="248"/>
        <w:gridCol w:w="248"/>
        <w:gridCol w:w="301"/>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2"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342" w:type="dxa"/>
            <w:gridSpan w:val="8"/>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 except for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Income tax benefit was $6.0 million for the year ended December 31, 2025, compared to an income tax provision of $(7.6) million for year ended December 31, 2024. The change was primarily attributed to an adjustment to the valuation allowance on our deferred tax balances.</w:t>
      </w:r>
    </w:p>
    <w:p>
      <w:pPr>
        <w:pStyle w:val="TextBody"/>
        <w:bidi w:val="0"/>
        <w:spacing w:before="0" w:after="0"/>
        <w:ind w:left="0" w:right="0" w:firstLine="504"/>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inception, we have historically financed our operations primarily with cash flow from operating activities, proceeds from the private sale of equity securities, related party indebtedness from Winklevoss Capital Fund (“WCF”) denominated in bitcoin, ether, or U.S. dollars, and loan agreements with an unrelated third party. We utilize crypto assets, specifically bitcoin, as a treasury asset and given our belief that bitcoin is a better store of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16840"/>
                <wp:effectExtent l="0" t="0" r="0" b="0"/>
                <wp:wrapNone/>
                <wp:docPr id="132" name="Frame1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hedge against inflation than fiat, we have generally sought to incur borrowing costs in U.S. dollars rather than sell bitcoin.</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15, 2025, we completed the IPO, in which we issued and sold 15,937,501 shares of our Class A common stock at a public offering price of $28.00 per share, which included the exercise in full by the underwriters of their option to purchase an additional 300,565 shares of the Company’s Class A common stock from the Company and 458,364 shares of the Company’s Class A common stock from the selling stockholders. We did not receive any proceeds from the sale of shares by the selling stockholders. Net proceeds to us from the IPO were $406.3 million after deducting the underwriting discounts and commissions and before deducting offering costs of $15.2 million.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Concurrent with the IPO, we entered into an agreement with Nasdaq, Inc. for Nasdaq, Inc. to purchase 1,904,761 shares of our Class A common stock in a private placement at $26.25 per share. The gross proceeds to us from the Concurrent Private Placement were $50.0 million. </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we had (i) cash and cash equivalents of $252.2 million and $42.8 million, respectively, which consisted primarily of cash and highly liquid investments with an original maturity of three months or less when purchased; (ii) restricted cash and cash equivalents of $115.3 million and $28.4 million, respectively, which consisted primarily of cash deposited into money market funds and restricted cash deposits held at financial institutions as part of our capital reserve requirements and as collateral associated with our banking partnerships and surety bonds; and (iii) customer custodial funds of $527.4 million and $575.6 million, respectively, which consisted of restricted cash and cash equivalents maintained in segregated bank accounts that are held for the exclusive benefit of users. We restrict the use of the assets underlying the customer custodial funds to meet regulatory requirements and classify the assets as current based on their purpose and availability to fulfill our direct obligation under custodial funds due to users.</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Crypto assets held on our consolidated balance sheets represent corporate assets that are used as part of the ordinary course of business. We use crypto assets primarily to support our core operations, facilitate the efficiency of the exchange, and as a reserve to satisfy regulatory requirements for certain subsidiaries. Uses to support core operations include receiving crypto assets as a form of payment for Transaction revenue and Services revenue. Crypto assets received as a form of payment are converted to cash or used to fulfill operating expenses, including crypto rewards. Certain crypto assets are designated to satisfy regulatory capital or reserve requirements imposed by certain jurisdictions and regulators. These assets are subject to operational and regulatory restrictions that limit their use in day-to-day business operations. Applicable regulatory frameworks require us to maintain a minimum level of assets to meet ongoing licensing and regulatory obligations and prohibit the lending, pledging, rehypothecation and encumbrance of such assets, but do not prohibit the sale thereof. As of December 31, 2025 and 2024, we held approximately $237.1 million and $290.9 million, respectively, in crypto assets for regulatory requirements.</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existing cash and cash equivalents, together with the proceeds from the IPO and the anticipated cost savings and operating efficiencies resulting from our strategic initiatives, including exiting unprofitable markets and streamlining operations, will be sufficient to meet our working capital and capital expenditure needs for at least the next 12 months. We continually evaluate opportunities to optimize our cost structure and capital allocation as part of normal business operations. We may also pursue financing activities from time to time to support strategic initiatives and provide additional financial flexibility. Our future capital requirements will depend on many factors, including continued market acceptance of crypto assets and blockchain technology, our ability to attract and retain users on our platform, the continuing market acceptance of our products and services,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dilution to our stockholders. The incurrence of debt financing would result in debt service obligations and the instruments governing such debt could provide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16840"/>
                <wp:effectExtent l="0" t="0" r="0" b="0"/>
                <wp:wrapNone/>
                <wp:docPr id="133" name="Frame1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covenants that would restrict our operations. In the event that additional financing is required from outside sources, there is a possibility we may not be able to raise it on terms acceptable to us or at all. If we are unable to raise additional capital when desired, our business, operating results, and financial condition could be adversely affected.</w:t>
      </w:r>
    </w:p>
    <w:p>
      <w:pPr>
        <w:pStyle w:val="TextBody"/>
        <w:bidi w:val="0"/>
        <w:spacing w:before="0" w:after="0"/>
        <w:ind w:left="0" w:right="0" w:firstLine="504"/>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Indebtedness and Other Funding Arrangements</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Lending Agreements</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entered into lending agreements with WCF to borrow an aggregate amount of 133,430 ETH and 11,326 BTC, at loan fees between 4% and 8% per annum since December 2022. As of December 31, 2025, loans in respect of 0 ETH and 4,619 BTC remained outstanding under these agreements. The purpose of these lending agreements includes meeting capital reserve requirements of regulators as well as satisfying collateral obligations under the Galaxy Lending Agreement (as defined below) and the NYDIG MRA (as defined below).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9, 2025, in connection with the repayment of the principal amount outstanding under the Galaxy Lending Agreement and the corresponding return of the collateral previously provided under such agreement (as further described below), we repaid in full the WCF lending agreements that were used to provide collateral to Galaxy, totaling 898 BTC and 26,629 ETH.</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Galaxy Lending Agreement</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2023, we entered into a Master Digital Currency Loan Agreement with Galaxy Digital LLC (“Galaxy”), an unrelated third party, that was amended and restated in April 2023 (as amended and restated, the “Galaxy Lending Agreement”). The Galaxy Lending Agreement permitted us to make lending requests of various types to Galaxy Digital to borrow digital currency, including BTC, BCH, ETH, ETC, or LTC, or U.S. dollars. Term lending requests had stipulated maturity dates, while open lending requests permitted either party the right to exercise a callable option and recall all or any portion of the borrowed asset. All requests were subject to providing collateral (defined as a percentage of the value of the borrowed asset) as well as paying borrow fees and late fees. In certain circumstances, if the value of a borrowed asset changes relative to the collateral provided, we were required to provide additional collateral to Galaxy.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8, 2025, we repaid the $116.5 million principal amount outstanding with a portion of the IPO proceeds, and all of the BTC and ETH collateral that was previously provided to Galaxy under the Galaxy Lending Agreement was returned back to us. The Galaxy Lending Agreement remained in effect through December 15, 2025, solely to satisfy a contractual 90-day notice period and was fully settled as of December 31, 2025.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Ripple 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we entered into a credit agreement with Ripple Labs Inc. (“Ripple”), an unrelated third party (the “Ripple Credit Agreement”). The Ripple Credit Agreement permits us to make lending requests, from time to time, of no less than $5.0 million each, up to an aggregate commitment amount of $75.0 million (the “Initial Commitment”), which may be increased or decreased, from time to time, subject to the attainment of certain agreed upon metrics, provided that the aggregate commitment amount does not exceed $150.0 million, prior to amendment. Once the Initial Commitment is exceeded, lending requests may be made in the form of USD-denominated Ripple Stablecoin (“RLUSD”), upon our request and Ripple’s consent. All lending requests under the Ripple Credit Agreement must be secured by collateral, bear an interest rate per annum of 6.5% and must be repaid in U.S. dollars.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we entered into an amendment to the Ripple Credit Agreement that temporarily increased the aggregate commitment to $250.0 million through July 1, 2026, increased the interest rate to 7.0%, and imposed additional collateral and operating covenants, including requirements related to holdings and activity levels of RLUSD. If outstanding borrowings are not reduced to $150.0 million or less by July 2, 2026, the interest rate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16840"/>
                <wp:effectExtent l="0" t="0" r="0" b="0"/>
                <wp:wrapNone/>
                <wp:docPr id="134" name="Frame1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increase to 10.0% until such reduction occurs. These terms may limit the availability of borrowings under the facility and increase our cost of capital.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there was a U.S. dollar denominated principal amount of approximately $154.1 million outstanding under the Ripple Credit Agreement and approximately $188.8 million of credit card receivables were pledged as collateral.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NYDIG MRA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we entered into a Master Repurchase Agreement with NYDIG Funding LLC (“NYDIG”), an unrelated third party (such Master Repurchase Agreement, the “NYDIG MRA”). The NYDIG MRA permits us to sell digital assets to NYDIG and simultaneously agree to repurchase such assets at a later date, contractually defined as June 30, 2026, and at a predetermined price. Each transaction is subject to margin requirements and other customary terms relating to events of default and remedies, as set forth in the NYDIG MRA. NYDIG may allow third parties to participate in (and in certain circumstances, may assign to such third parties) its rights and obligations under the NYDIG MRA. As of December 31, 2025, there were repurchase obligations in an aggregate U.S. dollar denominated amount of approximately $75.0 million outstanding under the NYDIG MRA, and such obligations were collateralized by digital assets with an aggregate fair market value of approximately $111.1 million and cash and cash equivalents of $16.4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Convertible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connection with the IPO, approximately $228.0 million in aggregate principal amount (plus accrued and unpaid interest thereon) in convertible notes outstanding as of the closing date of the IPO and approximately $467.6 million in aggregate principal amount (plus accrued and unpaid interest thereon) in convertible term loans outstanding as of the closing date of the IPO, automatically converted into 31,055,951 shares of the Company's Class B common stock, pursuant to their terms, at a price per share equal to 80% of the IPO price of $28.00 per share, or $22.40 per share. See </w:t>
      </w:r>
      <w:r>
        <w:rPr>
          <w:rFonts w:ascii="Times New Roman;serif" w:hAnsi="Times New Roman;serif"/>
          <w:b w:val="false"/>
          <w:i/>
          <w:color w:val="000000"/>
          <w:sz w:val="20"/>
        </w:rPr>
        <w:t>Note 13. Related Party Loans and Convertible Notes</w:t>
      </w:r>
      <w:r>
        <w:rPr>
          <w:color w:val="000000"/>
        </w:rPr>
        <w:t xml:space="preserve"> </w:t>
      </w:r>
      <w:r>
        <w:rPr>
          <w:rFonts w:ascii="Times New Roman;serif" w:hAnsi="Times New Roman;serif"/>
          <w:b w:val="false"/>
          <w:color w:val="000000"/>
          <w:sz w:val="20"/>
        </w:rPr>
        <w:t>to our audited consolidated financial statements for further details.</w:t>
      </w:r>
    </w:p>
    <w:p>
      <w:pPr>
        <w:pStyle w:val="TextBody"/>
        <w:bidi w:val="0"/>
        <w:spacing w:before="0" w:after="0"/>
        <w:ind w:left="0" w:right="0" w:firstLine="504"/>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our consolidated cash flows for the periods</w:t>
      </w:r>
    </w:p>
    <w:p>
      <w:pPr>
        <w:pStyle w:val="TextBody"/>
        <w:bidi w:val="0"/>
        <w:spacing w:lineRule="auto" w:line="288" w:before="0" w:after="0"/>
        <w:jc w:val="both"/>
        <w:rPr/>
      </w:pPr>
      <w:r>
        <w:rPr>
          <w:rFonts w:ascii="Times New Roman;serif" w:hAnsi="Times New Roman;serif"/>
          <w:b w:val="false"/>
          <w:color w:val="000000"/>
          <w:sz w:val="20"/>
        </w:rPr>
        <w:t>presented:</w:t>
      </w:r>
      <w:r>
        <w:rPr>
          <w:color w:val="000000"/>
        </w:rPr>
        <w:t xml:space="preserve"> </w:t>
      </w:r>
    </w:p>
    <w:tbl>
      <w:tblPr>
        <w:tblW w:w="10181" w:type="dxa"/>
        <w:jc w:val="left"/>
        <w:tblInd w:w="0" w:type="dxa"/>
        <w:tblLayout w:type="fixed"/>
        <w:tblCellMar>
          <w:top w:w="28" w:type="dxa"/>
          <w:left w:w="28" w:type="dxa"/>
          <w:bottom w:w="28" w:type="dxa"/>
          <w:right w:w="28" w:type="dxa"/>
        </w:tblCellMar>
      </w:tblPr>
      <w:tblGrid>
        <w:gridCol w:w="2218"/>
        <w:gridCol w:w="1951"/>
        <w:gridCol w:w="1965"/>
        <w:gridCol w:w="196"/>
        <w:gridCol w:w="811"/>
        <w:gridCol w:w="109"/>
        <w:gridCol w:w="109"/>
        <w:gridCol w:w="109"/>
        <w:gridCol w:w="109"/>
        <w:gridCol w:w="196"/>
        <w:gridCol w:w="811"/>
        <w:gridCol w:w="109"/>
        <w:gridCol w:w="109"/>
        <w:gridCol w:w="109"/>
        <w:gridCol w:w="109"/>
        <w:gridCol w:w="196"/>
        <w:gridCol w:w="811"/>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134"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 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(207,294)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(521,436)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restricted cash and cash equivalents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247,990 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(695,512)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 includes net income (loss) adjusted for non-cash expenses and non-cash movements in crypto assets and liabilities, as well as the effect of changes in operating assets and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was $218.1 million for the year ended December 31, 2025, driven by net loss of $582.8 million and non-cash adjustments of $342.0 million, which primarily consisted of changes in fair value on related party convertible term loans and related party convertible notes, realized and unrealized loss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16840"/>
                <wp:effectExtent l="0" t="0" r="0" b="0"/>
                <wp:wrapNone/>
                <wp:docPr id="135" name="Frame1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related party crypto loans and derivatives, and crypto assets and receivable, crypto assets pledged, stock-based compensation expense, depreciation and amortization, crypto asset payments for expenses, provision for transaction losses, partially offset by crypto assets and warrants received as revenue. Additionally, cash used in operating activities was impacted by a net outflow from changes in operating assets and liabilities of $(60.5) million, driven by the timing of cash receipts and payments, and vendor payment terms. These outflows were partially offset by $83.3 million net inflow from purchases and disposals of crypto assets for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$109.0 million for the year ended December 31, 2024, driven by net loss of $158.5 million and non-cash adjustments of $130.4 million, which primarily consisted of realized and unrealized losses on related party crypto loans, crypto asset payments for expenses, depreciation and amortization, fair value changes on related party convertible notes, provision for transaction losses and stock-based compensation, partially offset by realized and unrealized gains on crypto assets and receivable, crypto assets pledged as well as crypto assets received as revenue. Additionally, cash used in operating activities was impacted by a net outflow from changes in operating assets and liabilities of $80.8 million, driven by the timing of cash receipts and payments, and vendor payment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$47.9 million for the year ended December 31, 2025, primarily driven by $162.8 million in net outflow for the purchases of and repayments on credit card receivables and $7.7 million of capitalization of internally developed software costs and purchases of software, property and equipment. This was partially offset by $122.6 million in proceeds from the sale of crypto assets.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$83.6 million for the year ended December 31, 2024, primarily driven by $145.5 million in proceeds from the sale of crypto assets. This was partially offset by $55.6 million in net outflow for the purchase and sale of credit card receivables and $6.0 million of capitalization of internally developed software costs and purchases of software, property and equipment, as well as $0.4 million of equity investment purchases.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$514.0 million for the year ended December 31, 2025, primarily reflecting $441.2 million in proceeds from the IPO and the Concurrent Private Placement, net of underwriting discounts and commissions and offering expenses. Net cash provided by financing activities was also driven by $482.0 million of net proceeds from the NYDIG MRA, the Ripple Credit Agreement, and related party term loans prior to their conversion into equity in connection with the IPO. These increases were partially offset by $45.2 million of net custodial funds outflows attributable to elevated customer redemptions, $355.0 million in repayments under the Galaxy loan and the Ripple Credit Agreement, and $8.9 million in payments related to tax withholdings upon net settlement of equity awards.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$225.4 million for the year ended December 31, 2024, primarily driven by $190.8 million of net inflow from custodial funds due to customers from increased customer deposits, $24.6 million of proceeds from related party convertible notes, and $10.0 million of proceeds from third party loans.</w:t>
      </w:r>
    </w:p>
    <w:p>
      <w:pPr>
        <w:pStyle w:val="TextBody"/>
        <w:bidi w:val="0"/>
        <w:spacing w:before="0" w:after="0"/>
        <w:ind w:left="0" w:right="0" w:firstLine="504"/>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Material Cash Commitments</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material future cash commitments are to repay our current indebtedness obligations, as described above, and make payments under leases for our facilities. We have operating leases for office facilities with remaining terms of less than a year to nine years. Many leases include one or more options to renew, but renewals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16840"/>
                <wp:effectExtent l="0" t="0" r="0" b="0"/>
                <wp:wrapNone/>
                <wp:docPr id="136" name="Frame1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pPr>
      <w:r>
        <w:rPr>
          <w:rFonts w:ascii="Times New Roman;serif" w:hAnsi="Times New Roman;serif"/>
          <w:b w:val="false"/>
          <w:color w:val="000000"/>
          <w:sz w:val="20"/>
        </w:rPr>
        <w:t xml:space="preserve">are not assumed in the determination of the lease term due to uncertainty. For more information, see </w:t>
      </w:r>
      <w:r>
        <w:rPr>
          <w:rFonts w:ascii="Times New Roman;serif" w:hAnsi="Times New Roman;serif"/>
          <w:b w:val="false"/>
          <w:i/>
          <w:color w:val="000000"/>
          <w:sz w:val="20"/>
        </w:rPr>
        <w:t>Note 12. Leases</w:t>
      </w:r>
      <w:r>
        <w:rPr>
          <w:color w:val="000000"/>
        </w:rPr>
        <w:t xml:space="preserve"> </w:t>
      </w:r>
      <w:r>
        <w:rPr>
          <w:rFonts w:ascii="Times New Roman;serif" w:hAnsi="Times New Roman;serif"/>
          <w:b w:val="false"/>
          <w:color w:val="000000"/>
          <w:sz w:val="20"/>
        </w:rPr>
        <w:t>to our consolidated financial statements included in Part II, Item 8 of this Annual Report on Form 10-K.</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material cash commitments as of December 31, 2025 (in thousands):</w:t>
      </w:r>
    </w:p>
    <w:tbl>
      <w:tblPr>
        <w:tblW w:w="10205" w:type="dxa"/>
        <w:jc w:val="left"/>
        <w:tblInd w:w="0" w:type="dxa"/>
        <w:tblLayout w:type="fixed"/>
        <w:tblCellMar>
          <w:top w:w="28" w:type="dxa"/>
          <w:left w:w="28" w:type="dxa"/>
          <w:bottom w:w="28" w:type="dxa"/>
          <w:right w:w="28" w:type="dxa"/>
        </w:tblCellMar>
      </w:tblPr>
      <w:tblGrid>
        <w:gridCol w:w="976"/>
        <w:gridCol w:w="857"/>
        <w:gridCol w:w="860"/>
        <w:gridCol w:w="192"/>
        <w:gridCol w:w="192"/>
        <w:gridCol w:w="192"/>
        <w:gridCol w:w="346"/>
        <w:gridCol w:w="1140"/>
        <w:gridCol w:w="192"/>
        <w:gridCol w:w="192"/>
        <w:gridCol w:w="192"/>
        <w:gridCol w:w="192"/>
        <w:gridCol w:w="448"/>
        <w:gridCol w:w="1482"/>
        <w:gridCol w:w="252"/>
        <w:gridCol w:w="192"/>
        <w:gridCol w:w="192"/>
        <w:gridCol w:w="192"/>
        <w:gridCol w:w="346"/>
        <w:gridCol w:w="1299"/>
        <w:gridCol w:w="279"/>
      </w:tblGrid>
      <w:tr>
        <w:trPr/>
        <w:tc>
          <w:tcPr>
            <w:tcW w:w="97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6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Year Ended December 31,</w:t>
            </w:r>
          </w:p>
        </w:tc>
        <w:tc>
          <w:tcPr>
            <w:tcW w:w="576" w:type="dxa"/>
            <w:gridSpan w:val="3"/>
            <w:tcBorders/>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678"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Times New Roman;serif" w:hAnsi="Times New Roman;serif"/>
                <w:b/>
                <w:color w:val="000000"/>
                <w:sz w:val="18"/>
              </w:rPr>
            </w:pPr>
            <w:r>
              <w:rPr>
                <w:rFonts w:ascii="Times New Roman;serif" w:hAnsi="Times New Roman;serif"/>
                <w:b/>
                <w:color w:val="000000"/>
                <w:sz w:val="18"/>
              </w:rPr>
              <w:t>Leases</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cMar>
              <w:top w:w="0" w:type="dxa"/>
              <w:left w:w="0" w:type="dxa"/>
              <w:bottom w:w="0" w:type="dxa"/>
              <w:right w:w="0" w:type="dxa"/>
            </w:tcMar>
            <w:vAlign w:val="center"/>
          </w:tcPr>
          <w:p>
            <w:pPr>
              <w:pStyle w:val="TableContents"/>
              <w:bidi w:val="0"/>
              <w:spacing w:lineRule="auto" w:line="288" w:before="0" w:after="0"/>
              <w:ind w:left="0" w:right="0" w:hanging="4"/>
              <w:jc w:val="center"/>
              <w:rPr/>
            </w:pPr>
            <w:r>
              <w:rPr>
                <w:rFonts w:ascii="Times New Roman;serif" w:hAnsi="Times New Roman;serif"/>
                <w:b/>
                <w:color w:val="000000"/>
                <w:sz w:val="18"/>
              </w:rPr>
              <w:t>Indebtedness</w:t>
            </w:r>
            <w:r>
              <w:rPr>
                <w:rFonts w:ascii="Times New Roman;serif" w:hAnsi="Times New Roman;serif"/>
                <w:b/>
                <w:color w:val="000000"/>
                <w:sz w:val="12"/>
              </w:rPr>
              <w:t>(1)</w:t>
            </w:r>
          </w:p>
        </w:tc>
        <w:tc>
          <w:tcPr>
            <w:tcW w:w="576" w:type="dxa"/>
            <w:gridSpan w:val="3"/>
            <w:tcBorders/>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6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4"/>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94,457 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4"/>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102,734 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4"/>
              <w:jc w:val="left"/>
              <w:rPr>
                <w:sz w:val="4"/>
                <w:szCs w:val="4"/>
              </w:rPr>
            </w:pPr>
            <w:r>
              <w:rPr>
                <w:sz w:val="4"/>
                <w:szCs w:val="4"/>
              </w:rPr>
            </w:r>
          </w:p>
        </w:tc>
        <w:tc>
          <w:tcPr>
            <w:tcW w:w="2182"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color w:val="000000"/>
              </w:rPr>
            </w:pPr>
            <w:r>
              <w:rPr>
                <w:color w:val="000000"/>
              </w:rPr>
              <w:t>—</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8,339 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4"/>
              <w:jc w:val="left"/>
              <w:rPr>
                <w:sz w:val="4"/>
                <w:szCs w:val="4"/>
              </w:rPr>
            </w:pPr>
            <w:r>
              <w:rPr>
                <w:sz w:val="4"/>
                <w:szCs w:val="4"/>
              </w:rPr>
            </w:r>
          </w:p>
        </w:tc>
        <w:tc>
          <w:tcPr>
            <w:tcW w:w="2182"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color w:val="000000"/>
              </w:rPr>
            </w:pPr>
            <w:r>
              <w:rPr>
                <w:color w:val="000000"/>
              </w:rPr>
              <w:t>—</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7,735 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4"/>
              <w:jc w:val="left"/>
              <w:rPr>
                <w:sz w:val="4"/>
                <w:szCs w:val="4"/>
              </w:rPr>
            </w:pPr>
            <w:r>
              <w:rPr>
                <w:sz w:val="4"/>
                <w:szCs w:val="4"/>
              </w:rPr>
            </w:r>
          </w:p>
        </w:tc>
        <w:tc>
          <w:tcPr>
            <w:tcW w:w="2182"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color w:val="000000"/>
              </w:rPr>
            </w:pPr>
            <w:r>
              <w:rPr>
                <w:color w:val="000000"/>
              </w:rPr>
              <w:t>—</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3,657 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4"/>
              <w:jc w:val="left"/>
              <w:rPr>
                <w:sz w:val="4"/>
                <w:szCs w:val="4"/>
              </w:rPr>
            </w:pPr>
            <w:r>
              <w:rPr>
                <w:sz w:val="4"/>
                <w:szCs w:val="4"/>
              </w:rPr>
            </w:r>
          </w:p>
        </w:tc>
        <w:tc>
          <w:tcPr>
            <w:tcW w:w="2182"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color w:val="000000"/>
              </w:rPr>
            </w:pPr>
            <w:r>
              <w:rPr>
                <w:color w:val="000000"/>
              </w:rPr>
              <w:t>—</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1,216 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4"/>
              <w:jc w:val="left"/>
              <w:rPr>
                <w:sz w:val="4"/>
                <w:szCs w:val="4"/>
              </w:rPr>
            </w:pPr>
            <w:r>
              <w:rPr>
                <w:sz w:val="4"/>
                <w:szCs w:val="4"/>
              </w:rPr>
            </w:r>
          </w:p>
        </w:tc>
        <w:tc>
          <w:tcPr>
            <w:tcW w:w="2182"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color w:val="000000"/>
              </w:rPr>
            </w:pPr>
            <w:r>
              <w:rPr>
                <w:color w:val="000000"/>
              </w:rPr>
              <w:t>—</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1"/>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1,760 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30,984 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94,457 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125,441 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 xml:space="preserve">(1) Borrowings under our NYDIG repurchase agreement are subject to a contractual repurchase obligation with a stated repurchase date of June 2026. Accordingly, the outstanding principal balance and estimated interest through the repurchase date are reflected in the table above. </w:t>
            </w:r>
          </w:p>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14"/>
              </w:rPr>
              <w:t>We have open-term borrowing facilities with outstanding principal amounts of 4,619 BTC as of December 31, 2025. These related party facilities are repayable on demand and do not have fixed maturity dates. As a result, principal repayment obligations related to these arrangements are not included in the table above. Estimated interest related to our BTC-denominated borrowing arrangements is calculated based on the outstanding principal balance, contractual interest rates, and the bitcoin spot price as of December 31, 2025. Actual interest payments may differ due to changes in bitcoin prices, interest rates, and utilization levels. See “</w:t>
            </w:r>
            <w:r>
              <w:rPr>
                <w:rFonts w:ascii="Times New Roman;serif" w:hAnsi="Times New Roman;serif"/>
                <w:b w:val="false"/>
                <w:i/>
                <w:color w:val="000000"/>
                <w:sz w:val="14"/>
              </w:rPr>
              <w:t>Indebtedness and Other Funding Arrangements—Lending Agreements.</w:t>
            </w:r>
            <w:r>
              <w:rPr>
                <w:color w:val="000000"/>
              </w:rPr>
              <w:t>”</w:t>
            </w:r>
          </w:p>
        </w:tc>
      </w:tr>
    </w:tbl>
    <w:p>
      <w:pPr>
        <w:pStyle w:val="TextBody"/>
        <w:bidi w:val="0"/>
        <w:spacing w:before="0" w:after="0"/>
        <w:ind w:left="0" w:right="0" w:firstLine="504"/>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our agreement with WebBank, we have an outstanding commitment to purchase all Gemini Credit Card customer receivables offered for sale by WebBank. In addition, we are generally required to purchase certain other Gemini Credit Card customer receivables from WebBank in the event of identity theft or other types of fraud, as well as receivables that have been delinquent for more than 90 days.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Receivables purchased under this program are recorded on our consolidated balance sheets as Credit card receivables pledged and Accounts receivable, net. As of December 31, 2025, we had purchased $219.8 million in Gemini Credit Card customer receivables pursuant to this arrangement. Certain credit card receivables are pledged as collateral under our Ripple Credit Agreement (see </w:t>
      </w:r>
      <w:r>
        <w:rPr>
          <w:color w:val="000000"/>
        </w:rPr>
        <w:t>“</w:t>
      </w:r>
      <w:r>
        <w:rPr>
          <w:rFonts w:ascii="Times New Roman;serif" w:hAnsi="Times New Roman;serif"/>
          <w:b w:val="false"/>
          <w:i/>
          <w:color w:val="000000"/>
          <w:sz w:val="20"/>
        </w:rPr>
        <w:t>Indebtedness and Other Funding Arrangements - Ripple Credit Agreement”</w:t>
      </w:r>
      <w:r>
        <w:rPr>
          <w:color w:val="000000"/>
        </w:rPr>
        <w:t xml:space="preserve"> </w:t>
      </w:r>
      <w:r>
        <w:rPr>
          <w:rFonts w:ascii="Times New Roman;serif" w:hAnsi="Times New Roman;serif"/>
          <w:b w:val="false"/>
          <w:color w:val="000000"/>
          <w:sz w:val="20"/>
        </w:rPr>
        <w:t>). As of December 31, 2025 and 2024, the carrying value of pledged credit card receivables was $188.8 million and $0, respectively.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agreement creates an ongoing commitment to purchase future receivables as they are originated. The amount of future purchases will vary based on credit card usage and customer activity. We maintain sufficient cash on hand to fund these payments as they become due.</w:t>
      </w:r>
    </w:p>
    <w:p>
      <w:pPr>
        <w:pStyle w:val="TextBody"/>
        <w:bidi w:val="0"/>
        <w:spacing w:before="0" w:after="0"/>
        <w:ind w:left="0" w:right="0" w:firstLine="504"/>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are based on our consolidated financial statements and the related notes, which have been prepared in accordance with GAAP. The preparation of financial statements in conformity with GAAP requires us to make estimates and assumptions that affect the reported amounts of assets and liabilities as of the balance sheet date, as well as report amounts of revenue and expenses during the period. We base our estimates on historical experience, known trends and events, and various other assumptions that we believe to be reasonable under the circumstances. Actual results and outcomes may differ from management’s estimates and assumptions due to risks and uncertainties. To the extent there are differences between our estimates and actual results, our future financial statement presentation, financial condition, operating results, and cash flows will be affected.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16840"/>
                <wp:effectExtent l="0" t="0" r="0" b="0"/>
                <wp:wrapNone/>
                <wp:docPr id="137" name="Frame1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believe that the following critical accounting policies and estimates involve a greater degree of judgment and complexity than our other significant accounting policies. Accordingly, these are the significant estimates and assumptions we believe are most critical to understand when evaluating our financial condition and results of operations. Our significant accounting policies are more fully described in </w:t>
      </w:r>
      <w:r>
        <w:rPr>
          <w:rFonts w:ascii="Times New Roman;serif" w:hAnsi="Times New Roman;serif"/>
          <w:b w:val="false"/>
          <w:i/>
          <w:color w:val="000000"/>
          <w:sz w:val="20"/>
        </w:rPr>
        <w:t>Note 2. Summary of Significant Accounting Policies</w:t>
      </w:r>
      <w:r>
        <w:rPr>
          <w:color w:val="000000"/>
        </w:rPr>
        <w:t xml:space="preserve"> </w:t>
      </w:r>
      <w:r>
        <w:rPr>
          <w:rFonts w:ascii="Times New Roman;serif" w:hAnsi="Times New Roman;serif"/>
          <w:b w:val="false"/>
          <w:color w:val="000000"/>
          <w:sz w:val="20"/>
        </w:rPr>
        <w:t>to our consolidated financial statements included in Part II, Item 8 of this Annual Report on Form 10-K.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hold compensatory warrants in a publicly held company, received as consideration for providing general asset management services and crypto asset custody services. These warrants are measured at fair value on the grant date using a Monte Carlo simulation model, incorporating both observable inputs, such as stock price, exercise price, expected term, risk-free rate, dividend yield, equity volatility, and unobservable inputs, including the probability of achieving stock-price vesting conditions.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determined that valuation of warrants represents a critical accounting estimate because it involves significant judgments, estimates, and assumptions, and to the extent that these estimates and assumptions change materially or if actual circumstances differ from those in the assumptions, our financial statements could be materially impacted.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the fair value of the warrants are recognized in Other income (expense), net on the consolidated statements of operations and comprehensive loss. As a result, period-to-period fluctuations in market conditions or in management’s assumptions can materially affect our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Strategic Investments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hold strategic investments in privately held companies in the form of equity investments without readily determinable fair values in which we do not have a controlling interest or significant influence. We account for these investments under the measurement alternative method whereby they are measured at cost, less impairment, subject to upward and downward adjustments resulting from observable price changes for identical or similar investments of the same issuer (“pricing adjustments”). We determined that valuation of privately held strategic investments represents a critical accounting estimate because impairment evaluations involve significant judgment, estimates, and assumptions, and to the extent that these estimates and assumptions change materially or if actual circumstances differ from those in the assumptions, our financial statements could be materially impacted.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Pricing adjustments require quantitative assessments of the fair value of our strategic investments and involve the use of estimates using the best information available, which may include observable transaction prices from additional rounds of funding.</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Privately-held strategic investments are evaluated regularly for impairment. Our qualitative analysis includes a review of the companies’ financial condition and business outlook, industry performance, regulatory, economic or technological environment, and other relevant events and factors affecting the company. When indicators of impairment exist, we estimate the fair value of these nonmarketable equity securities using the market approach and/or the income approach. If any impairment is identified, we write down the investment to its fair value and record the corresponding charge through Other income (expense), net on the consolidated statements of operations and comprehensive loss. Estimating fair value requires judgment and use of estimates such as discount rates, forecasted cash flows, and market data of comparable companies, among others. See </w:t>
      </w:r>
      <w:r>
        <w:rPr>
          <w:rFonts w:ascii="Times New Roman;serif" w:hAnsi="Times New Roman;serif"/>
          <w:b w:val="false"/>
          <w:i/>
          <w:color w:val="000000"/>
          <w:sz w:val="20"/>
        </w:rPr>
        <w:t>Note 8. Prepaid Expenses and Other Assets</w:t>
      </w:r>
      <w:r>
        <w:rPr>
          <w:color w:val="000000"/>
        </w:rPr>
        <w:t xml:space="preserve"> </w:t>
      </w:r>
      <w:r>
        <w:rPr>
          <w:rFonts w:ascii="Times New Roman;serif" w:hAnsi="Times New Roman;serif"/>
          <w:b w:val="false"/>
          <w:color w:val="000000"/>
          <w:sz w:val="20"/>
        </w:rPr>
        <w:t>to our consolidated financial statements included Part II, Item 8 of this Annual Report on Form 10-K for further details.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16840"/>
                <wp:effectExtent l="0" t="0" r="0" b="0"/>
                <wp:wrapNone/>
                <wp:docPr id="138" name="Frame1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Convertible Notes (Prior to IPO)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During the years ended December 31, 2025 and 2024, we entered into convertible note lending agreements with a related party that permitted the holder to convert the outstanding principal and accrued interest into a variable number of shares of preferred units at a fixed discount to the market price of the common units at the time of conversion. We accounted for these convertible notes under </w:t>
      </w:r>
      <w:r>
        <w:rPr>
          <w:rFonts w:ascii="Times New Roman;serif" w:hAnsi="Times New Roman;serif"/>
          <w:b w:val="false"/>
          <w:i/>
          <w:color w:val="000000"/>
          <w:sz w:val="20"/>
        </w:rPr>
        <w:t>Accounting Standards Update 2020-06—Debt—Debt with Conversion and Other Options (Subtopic 470-20) and Derivatives and Hedging—Contracts in Entity’s Own Equity (Subtopic 815-40): Accounting for Convertible Instruments and Contracts in an Entity’s Own Equity</w:t>
      </w:r>
      <w:r>
        <w:rPr>
          <w:rFonts w:ascii="Times New Roman;serif" w:hAnsi="Times New Roman;serif"/>
          <w:b w:val="false"/>
          <w:color w:val="000000"/>
          <w:sz w:val="20"/>
        </w:rPr>
        <w:t>. We recorded the convertible notes liability at fair value at each period end using a scenario-based approach which considered various conversion and repayment scenarios along with a discounted cash flow analysis. The assumptions underlying these valuations were unobservable and represented our best estimate, which involved inherent uncertainties and the application of judgment. If we had used different assumptions or estimates, the estimated fair value of the instruments described above could have been materially different.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changes in fair value were recorded as Change in fair value on related party convertible notes on the consolidated statements of operations and comprehensive loss. The portion of total changes in fair value of the notes attributable to changes in instrument-specific credit risk were determined through specific measurement of periodic changes in the discount rate assumption exclusive of base market changes and were presented as a component of comprehensive income on the consolidated statements of operations and comprehensive loss. All outstanding convertible notes converted into shares of our Class B common stock in connection with our IPO and are no longer outstanding.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Related Party Term Loans (Prior to IPO)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During the years ended December 31, 2025 and 2024, we entered into term loan lending agreements with a related party. The term loan agreement we entered into in 2025 included a conversion feature that permitted the holder to convert the outstanding principal and accrued interest into a variable number of shares of preferred units at a fixed discount to the market price of the common units at the time of conversion. During the same period, we amended our 2024 term loan agreement to add a comparable conversion feature. We accounted for the convertible term loans under </w:t>
      </w:r>
      <w:r>
        <w:rPr>
          <w:rFonts w:ascii="Times New Roman;serif" w:hAnsi="Times New Roman;serif"/>
          <w:b w:val="false"/>
          <w:i/>
          <w:color w:val="000000"/>
          <w:sz w:val="20"/>
        </w:rPr>
        <w:t>Accounting Standards Update 2020-06—Debt—Debt with Conversion and Other Options (Subtopic 470-20) and Derivatives and Hedging—Contracts in Entity’s Own Equity (Subtopic 815-40): Accounting for Convertible Instruments and Contracts in an Entity’s Own Equity</w:t>
      </w:r>
      <w:r>
        <w:rPr>
          <w:rFonts w:ascii="Times New Roman;serif" w:hAnsi="Times New Roman;serif"/>
          <w:b w:val="false"/>
          <w:color w:val="000000"/>
          <w:sz w:val="20"/>
        </w:rPr>
        <w:t>. We recorded the convertible term loans at fair value at each period end using a scenario-based approach which considered various conversion and repayment scenarios along with a discounted cash flow analysis. The assumptions underlying these valuations were unobservable and represented our best estimate, which involved inherent uncertainties and the application of judgment. If we had used different assumptions or estimates, the estimated fair value of the instruments described above could have been materially different.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changes in fair value were recorded as Change in fair value on related party loans on the consolidated statements of operations and comprehensive loss. The portion of total changes in fair value of the related party loans attributable to changes in instrument-specific credit risk were determined through specific measurement of periodic changes in the discount rate assumption exclusive of base market changes and were presented as a component of comprehensive income on the consolidated statements of operations and comprehensive loss. All outstanding related party term loans converted into shares of our Class B common stock in connection with our IPO and are no longer outstanding.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Stock Options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16840"/>
                <wp:effectExtent l="0" t="0" r="0" b="0"/>
                <wp:wrapNone/>
                <wp:docPr id="139" name="Frame1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granted stock options that vest upon time-based service conditions, as well as stock options that vest based on both time-based service conditions and market-based conditions. Market-based conditions are satisfied upon our achievement of specified share price targets.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estimate the fair value of stock options subject to only service-based conditions on the date of grant using the Black-Scholes-Merton option-pricing model. This model requires management to make a number of estimates and assumptions, including the fair value of our underlying common stock, expected volatility of our underlying common stock, expected term of the stock option, and, where applicable, expected dividend yield. The expected term of the stock option is based on the average period the stock option is expected to remain outstanding based on the stock option’s vesting and contractual terms. The expected stock price volatility assumption for our common stock is determined by using a weighted average of the historical stock price volatilities of comparable companies from a representative peer group, as sufficient trading history for our common stock is not available.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estimate the fair value of stock options subject to market-based conditions using a Monte Carlo simulation model (a binomial lattice-based valuation model), which simulates a large number of potential future price paths for our common stock over the expected term of the awards. The model calculates fair value as the probability-weighted present value of expected outcomes under each simulated path. The probability of achieving the market-based conditions is derived from the simulation and is based on assumptions including the current stock price, expected volatility, expected term, risk-free interest rate, and, where applicable, expected dividends.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recognize stock-based compensation expense for awards with market-based conditions using an accelerated attribution method over the requisite service period. Compensation expense is recognized based on the grant-date fair value, regardless of whether the market-based condition is ultimately achieved, provided the requisite service is rendered.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elected to account for forfeitures of equity awards as they occur, with previously recognized stock-based compensation reversed in the period that the awards are forfeited.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Prior to IPO</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our IPO, we recognized stock-based compensation expense using a fair-value based method for costs related to all equity awards issued under our equity incentive plans, including common units and phantom units. We estimated the fair value of equity awards with only service-based conditions on the date of grant using the closed form option-pricing model and recognized compensation expense on a straight-line basis over the requisite service period. We accounted for forfeitures as they occur, with previously recognized expense reversed in the period of forfeiture.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valuation model required management to make a number of assumptions, including the fair value and expected volatility of our underlying common units, expected term of the equity award, risk-free interest rate, and expected dividend yield. The expected term of the equity award reflected the average period the unit award was expected to remain outstanding based on the equity award’s vesting and contractual terms.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the absence of a public trading market, the fair value of our equity was determined by our board of managers, with input from management, taking into account our most recent valuations from an independent third-party valuation specialist. Our board of managers intended all unit awards granted to have a participation threshold not less than the current equity value on the date of the grant. The valuations were performed in accordance with the guidance provided by the American Institute of Certified Public Accountants Practice Aid, V</w:t>
      </w:r>
      <w:r>
        <w:rPr>
          <w:rFonts w:ascii="Times New Roman;serif" w:hAnsi="Times New Roman;serif"/>
          <w:b w:val="false"/>
          <w:i/>
          <w:color w:val="000000"/>
          <w:sz w:val="20"/>
        </w:rPr>
        <w:t xml:space="preserve">aluation of Privately-Held-Company Equity Securities Issued as Compensation, </w:t>
      </w:r>
      <w:r>
        <w:rPr>
          <w:rFonts w:ascii="Times New Roman;serif" w:hAnsi="Times New Roman;serif"/>
          <w:b w:val="false"/>
          <w:color w:val="000000"/>
          <w:sz w:val="20"/>
        </w:rPr>
        <w:t>and considered numerous subjective factors, including our operating and financial performance, capital structure, comparable company data, recent arm’s-length transactions, the likelihood of a liquidity event, marketability considerations, and prevailing capital market conditions. The board generally applied income and market valuation approaches to estimate enterprise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16840"/>
                <wp:effectExtent l="0" t="0" r="0" b="0"/>
                <wp:wrapNone/>
                <wp:docPr id="140" name="Frame1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 the asset and liability method for computing our income tax provision. Deferred tax assets and liabilities reflect the expected future consequences of temporary differences between the financial reporting and tax bases of assets and liabilities as well as operating loss, capital loss, and tax credit carryforwards, using enacted tax rates. Management makes estimates, assumptions, and judgments to determine our provision for income taxes, deferred tax assets and liabilities, and any valuation allowance recorded against deferred tax assets. We assess the likelihood that our deferred tax assets will be recovered from future taxable income and, to the extent we believe that recovery is not likely, we establish a valuation allowance.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recognize the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are recognized within provision for income taxes.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Legal and Other Contingencies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various legal proceedings and claims that arise in the ordinary course of business, the outcomes of which are inherently uncertain, and such uncertainty may be enhanced due to the industry in which we operate. We record a liability when it is probable that a loss has been incurred and the amount is reasonably estimable, the determination of which requires significant judgment. In addition, we record recoveries of these losses when it is probable that they will be collected. These estimates are highly sensitive to change and involve variables that are not completely within our control nor practicable to model, including decisions made by regulators and settlement negotiations. Resolution of legal and other contingencies in a manner inconsistent with management’s expectations could have a material impact on our financial condition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Allowance for Transaction Losses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Transaction losses primarily include expenses associated with our retail receivables, custodial and staking fee receivables, and credit losses associated with our credit card program. Our transaction losses fluctuate depending on many factors, including: macroeconomic conditions, fraud events, and the credit quality of loans receivable arising from transactions funded with our credit card program.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establish allowances for estimated transaction losses arising from processing customer transactions, such as retail receivables, custodial funds receivable, and staking fees receivable. Additions to the allowance, in the form of provisions, are reflected in Transaction losses on our consolidated statements of operations and comprehensive loss. The allowances are based on known facts and circumstances and internal factors including the fair value of any collateral held, experience with similar cases, historical trends involving collections and write-off patterns. We have no expectation of transaction losses for receivables where the fair value of the collateral securing the balance is equal to or in excess of the receivable amount. In cases where the fair value of the collateral is less than the outstanding receivable balance, and it is not reasonably expected that the customer will replenish such a shortfall, we recognizes an allowance for transaction loss in the amount of the difference.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also establish an allowance for credit card receivables including the related interest receivable, which represents our estimate of current expected credit losses inherent in our portfolio of credit card receivables and interest receivables and includes expected credit losses from modifications of receivables to borrowers experiencing financial difficulty. Determining appropriate current expected credit loss allowances for loans and interest receivable is an inherently uncertain process and ultimate losses may vary from the current estimates. We regularly update our allowance estimates as new facts become known and events occur that may impact the settlement or recovery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16840"/>
                <wp:effectExtent l="0" t="0" r="0" b="0"/>
                <wp:wrapNone/>
                <wp:docPr id="141" name="Frame1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losses. The allowances are maintained at a level we deem appropriate to adequately provide for current expected credit losses at the balance sheet date after incorporating the impact of externally sourced macroeconomic trends, as appropriate. We consider externally published U.S. gross domestic product growth rate data, the U.S. federal funds rate data, U.S. credit card delinquency data, and the consumer product index trends. A significant change in the forecasted macroeconomic factors could result in a material change in our allowances.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2. Summary of Significant Accounting Policies</w:t>
      </w:r>
      <w:r>
        <w:rPr>
          <w:color w:val="000000"/>
        </w:rPr>
        <w:t xml:space="preserve"> </w:t>
      </w:r>
      <w:r>
        <w:rPr>
          <w:rFonts w:ascii="Times New Roman;serif" w:hAnsi="Times New Roman;serif"/>
          <w:b w:val="false"/>
          <w:color w:val="000000"/>
          <w:sz w:val="20"/>
        </w:rPr>
        <w:t>to our audited consolidated financial statements included in Part II, Item 8 of this Annual Report on Form 10-K for recently adopted accounting pronouncements and recently issued accounting pronouncements not yet adopted as of the date of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16840"/>
                <wp:effectExtent l="0" t="0" r="0" b="0"/>
                <wp:wrapNone/>
                <wp:docPr id="142" name="Frame1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before="0" w:after="0"/>
        <w:ind w:left="0" w:right="0" w:firstLine="50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Market risk is the risk to our financial statements associated with the effect of changes in market factors, including the following.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interest rate risk primarily through our credit card receivables and our fixed-rate borrowing facilities.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earn interest income on outstanding credit card balances at rates indexed to the prime rate plus a spread. These receivables bear floating interest rates that adjust immediately with changes in the prime rate. A 100 basis point increase (decrease) in the prime rate would result in an increase (decrease) of approximately $1.2 million in annual interest income based on average credit card balances outstanding during the year ended December 31, 2025.</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funding facilities bear interest at fixed rates with terms ranging from evergreen to approximately one to two years. As of December 31, 2025, we had $229.1 million in outstanding principal borrowings under these facilities at a weighted average interest rate of 7.5%. While the fixed-rate nature of these borrowings limits our exposure to interest rate volatility during the term of the facilities, we are exposed to repricing risk upon maturity or refinancing. If interest rates increase prior to maturity or refinancing, our interest expense would increase upon entering into new or replacement financing arrangements.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Due to the short-term nature of the cash and cash equivalent holdings against our GUSD reserve and against custodial USD balances, we do not believe we have material exposure to interest rate risk from these investments.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Digital Assets Risks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digital asset prices impact our operations through unrealized gains and losses on digital assets inventory held. For years ended December 31, 2025 and 2024, unencumbered digital assets had an aggregate fair value of totaled $37.1 million and $78.3 million, respectively, representing 2% and 5% of our total assets. A hypothetical 50% increase or decrease in digital assets prices as of December 31, 2025 and 2024 would result in a $18.6 million and $39.2 million impact, respectively, to the value of our unencumbered Crypto assets held.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digital asset-denominated liabilities, including borrowings from related parties that are collateralized by digital assets. While the principal amounts of these liabilities are substantially matched by corresponding digital asset holdings on our balance sheet, limiting our net exposure to digital asset price risk on principal balances, the interest expense on our related party digital asset borrowings is payable in U.S. dollars. As a result, appreciation in digital asset prices increases our interest expense in digital asset terms, while depreciation in digital asset prices decreases our interest expense in digital asset terms, creating additional exposure to digital asset price volatility.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Decreases in digital asset prices may have an adverse impact on operating results. Certain transaction revenues are generated in digital assets and accordingly, decreases in digital asset prices would reduce the U.S. dollar value of such revenues when converted. Additionally, significant declines in digital asset prices have historically correlated with reduced market sentiment and trading activity, which could result in lower transaction volumes and associated revenues on our platform.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repurchase agreement with NYDIG is collateralized by bitcoin holdings. Material declines in bitcoin prices may trigger margin calls, requiring us to post additional collateral or repay outstanding amounts, which could create liquidity demands and impact our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16840"/>
                <wp:effectExtent l="0" t="0" r="0" b="0"/>
                <wp:wrapNone/>
                <wp:docPr id="143" name="Frame1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Revenues, expenses, and financial results of our foreign subsidiaries are recorded in the functional currencies of these subsidiaries. Historically, our primary foreign currency exposures have been to the Singaporean Dollar (“SGD”) and British Pound (“GBP”). Following the announcement in February 2026 of our plan to exit and wind down operations in the United Kingdom and certain other international markets, we expect our exposure to GBP-denominated revenues and expenses to decrease over time. Our remaining foreign currency exposure is primarily related to SGD-denominated operations. Our foreign currency exposure arises from: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Foreign currency transaction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international subsidiaries operate at a loss, with foreign currency-denominated expenses exceeding those of local foreign-denominated revenues. As a result, appreciation of foreign currencies relative to the U.S. dollar may negatively affect our results of operations as expressed in U.S. dollars.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Foreign currency translation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working capital in our foreign subsidiaries. Additionally, we maintain a modest inventory of foreign currencies resulting from net client trading activity. Changes in foreign exchange rates result in translation gains or losses when these balances are translated to U.S. dollars for consolidation purposes. We hold cash and digital assets denominated in foreign currencies on behalf of customers. These custodial assets are matched by corresponding custodial liabilities denominated in the same currencies, resulting in minimal net foreign currency exposure from these balances.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16840"/>
                <wp:effectExtent l="0" t="0" r="0" b="0"/>
                <wp:wrapNone/>
                <wp:docPr id="144" name="Frame1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before="0" w:after="0"/>
        <w:jc w:val="center"/>
        <w:rPr/>
      </w:pPr>
      <w:r>
        <w:rPr/>
      </w:r>
    </w:p>
    <w:p>
      <w:pPr>
        <w:pStyle w:val="TextBody"/>
        <w:bidi w:val="0"/>
        <w:spacing w:before="0" w:after="0"/>
        <w:jc w:val="center"/>
        <w:rPr/>
      </w:pPr>
      <w:r>
        <w:rPr/>
      </w:r>
    </w:p>
    <w:tbl>
      <w:tblPr>
        <w:tblW w:w="8236" w:type="dxa"/>
        <w:jc w:val="left"/>
        <w:tblInd w:w="0" w:type="dxa"/>
        <w:tblLayout w:type="fixed"/>
        <w:tblCellMar>
          <w:top w:w="28" w:type="dxa"/>
          <w:left w:w="28" w:type="dxa"/>
          <w:bottom w:w="28" w:type="dxa"/>
          <w:right w:w="28" w:type="dxa"/>
        </w:tblCellMar>
      </w:tblPr>
      <w:tblGrid>
        <w:gridCol w:w="2776"/>
        <w:gridCol w:w="2439"/>
        <w:gridCol w:w="2450"/>
        <w:gridCol w:w="167"/>
        <w:gridCol w:w="167"/>
        <w:gridCol w:w="237"/>
      </w:tblGrid>
      <w:tr>
        <w:trPr/>
        <w:tc>
          <w:tcPr>
            <w:tcW w:w="2776"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Item 8. Financial Statements and Supplementary Data.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Index to Consolidated Financial Statements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1065">
              <w:r>
                <w:rPr>
                  <w:rStyle w:val="InternetLink"/>
                  <w:rFonts w:ascii="Times New Roman;serif" w:hAnsi="Times New Roman;serif"/>
                  <w:b w:val="false"/>
                  <w:color w:val="000080"/>
                  <w:sz w:val="20"/>
                  <w:u w:val="single"/>
                </w:rPr>
                <w:t xml:space="preserve">Report of </w:t>
              </w:r>
            </w:hyperlink>
            <w:hyperlink w:anchor="i398e92ff5e2248149c5a58221ea5bce2_1065">
              <w:r>
                <w:rPr>
                  <w:rStyle w:val="InternetLink"/>
                  <w:rFonts w:ascii="Times New Roman;serif" w:hAnsi="Times New Roman;serif"/>
                  <w:b w:val="false"/>
                  <w:color w:val="000080"/>
                  <w:sz w:val="20"/>
                  <w:u w:val="single"/>
                </w:rPr>
                <w:t>Independent Registered Public Accounting Firm</w:t>
              </w:r>
            </w:hyperlink>
            <w:r>
              <w:rPr>
                <w:color w:val="000000"/>
              </w:rPr>
              <w:t xml:space="preserve"> </w:t>
            </w:r>
            <w:r>
              <w:rPr>
                <w:rFonts w:ascii="Times New Roman;serif" w:hAnsi="Times New Roman;serif"/>
                <w:b w:val="false"/>
                <w:color w:val="000000"/>
                <w:sz w:val="20"/>
              </w:rPr>
              <w:t>(Deloitte - PCAOB ID 34)</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98e92ff5e2248149c5a58221ea5bce2_1065">
              <w:r>
                <w:rPr>
                  <w:rStyle w:val="InternetLink"/>
                  <w:rFonts w:ascii="Times New Roman;serif" w:hAnsi="Times New Roman;serif"/>
                  <w:b w:val="false"/>
                  <w:color w:val="0000FF"/>
                  <w:sz w:val="20"/>
                  <w:u w:val="single"/>
                </w:rPr>
                <w:t>136</w:t>
              </w:r>
            </w:hyperlink>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13">
              <w:r>
                <w:rPr>
                  <w:rStyle w:val="InternetLink"/>
                  <w:rFonts w:ascii="Times New Roman;serif" w:hAnsi="Times New Roman;serif"/>
                  <w:b w:val="false"/>
                  <w:color w:val="0000FF"/>
                  <w:sz w:val="20"/>
                  <w:u w:val="single"/>
                </w:rPr>
                <w:t>Consolidated Balance Sheets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98e92ff5e2248149c5a58221ea5bce2_13">
              <w:r>
                <w:rPr>
                  <w:rStyle w:val="InternetLink"/>
                  <w:rFonts w:ascii="Times New Roman;serif" w:hAnsi="Times New Roman;serif"/>
                  <w:b w:val="false"/>
                  <w:color w:val="0000FF"/>
                  <w:sz w:val="20"/>
                  <w:u w:val="single"/>
                </w:rPr>
                <w:t>137</w:t>
              </w:r>
            </w:hyperlink>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16">
              <w:r>
                <w:rPr>
                  <w:rStyle w:val="InternetLink"/>
                  <w:rFonts w:ascii="Times New Roman;serif" w:hAnsi="Times New Roman;serif"/>
                  <w:b w:val="false"/>
                  <w:color w:val="0000FF"/>
                  <w:sz w:val="20"/>
                  <w:u w:val="single"/>
                </w:rPr>
                <w:t>Consolidated Statements of Operations and Comprehensive Loss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398e92ff5e2248149c5a58221ea5bce2_16">
              <w:r>
                <w:rPr>
                  <w:rStyle w:val="InternetLink"/>
                  <w:rFonts w:ascii="Times New Roman;serif" w:hAnsi="Times New Roman;serif"/>
                  <w:b w:val="false"/>
                  <w:color w:val="0000FF"/>
                  <w:sz w:val="20"/>
                  <w:u w:val="single"/>
                </w:rPr>
                <w:t>139</w:t>
              </w:r>
            </w:hyperlink>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FF"/>
                <w:sz w:val="20"/>
                <w:u w:val="single"/>
              </w:rPr>
              <w:t>C</w:t>
            </w:r>
            <w:hyperlink w:anchor="i398e92ff5e2248149c5a58221ea5bce2_19">
              <w:r>
                <w:rPr>
                  <w:rStyle w:val="InternetLink"/>
                  <w:rFonts w:ascii="Times New Roman;serif" w:hAnsi="Times New Roman;serif"/>
                  <w:b w:val="false"/>
                  <w:color w:val="000080"/>
                  <w:sz w:val="20"/>
                  <w:u w:val="single"/>
                </w:rPr>
                <w:t>onsolidated Statements of Changes in Convertible Preferred Units and Stockholders' Equity</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98e92ff5e2248149c5a58221ea5bce2_1099511629135">
              <w:r>
                <w:rPr>
                  <w:rStyle w:val="InternetLink"/>
                  <w:rFonts w:ascii="Times New Roman;serif" w:hAnsi="Times New Roman;serif"/>
                  <w:b w:val="false"/>
                  <w:color w:val="0000FF"/>
                  <w:sz w:val="20"/>
                  <w:u w:val="single"/>
                </w:rPr>
                <w:t>140</w:t>
              </w:r>
            </w:hyperlink>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22">
              <w:r>
                <w:rPr>
                  <w:rStyle w:val="InternetLink"/>
                  <w:rFonts w:ascii="Times New Roman;serif" w:hAnsi="Times New Roman;serif"/>
                  <w:b w:val="false"/>
                  <w:color w:val="0000FF"/>
                  <w:sz w:val="20"/>
                  <w:u w:val="single"/>
                </w:rPr>
                <w:t>Consolidated Statements of Cash Flows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398e92ff5e2248149c5a58221ea5bce2_22">
              <w:r>
                <w:rPr>
                  <w:rStyle w:val="InternetLink"/>
                  <w:rFonts w:ascii="Times New Roman;serif" w:hAnsi="Times New Roman;serif"/>
                  <w:b w:val="false"/>
                  <w:color w:val="0000FF"/>
                  <w:sz w:val="20"/>
                  <w:u w:val="single"/>
                </w:rPr>
                <w:t>141</w:t>
              </w:r>
            </w:hyperlink>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98e92ff5e2248149c5a58221ea5bce2_25">
              <w:r>
                <w:rPr>
                  <w:rStyle w:val="InternetLink"/>
                  <w:rFonts w:ascii="Times New Roman;serif" w:hAnsi="Times New Roman;serif"/>
                  <w:b w:val="false"/>
                  <w:color w:val="000080"/>
                  <w:sz w:val="20"/>
                  <w:u w:val="single"/>
                </w:rPr>
                <w:t>Notes to</w:t>
              </w:r>
            </w:hyperlink>
            <w:r>
              <w:rPr>
                <w:rFonts w:ascii="Times New Roman;serif" w:hAnsi="Times New Roman;serif"/>
                <w:b w:val="false"/>
                <w:color w:val="0000FF"/>
                <w:sz w:val="20"/>
                <w:u w:val="single"/>
              </w:rPr>
              <w:t xml:space="preserve"> Consolidated Financial Statements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98e92ff5e2248149c5a58221ea5bce2_25">
              <w:r>
                <w:rPr>
                  <w:rStyle w:val="InternetLink"/>
                  <w:rFonts w:ascii="Times New Roman;serif" w:hAnsi="Times New Roman;serif"/>
                  <w:b w:val="false"/>
                  <w:color w:val="0000FF"/>
                  <w:sz w:val="20"/>
                  <w:u w:val="single"/>
                </w:rPr>
                <w:t>143</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16840"/>
                <wp:effectExtent l="0" t="0" r="0" b="0"/>
                <wp:wrapNone/>
                <wp:docPr id="145" name="Frame1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before="0" w:after="120"/>
        <w:jc w:val="right"/>
        <w:rPr/>
      </w:pPr>
      <w:r>
        <w:rPr/>
      </w:r>
    </w:p>
    <w:p>
      <w:pPr>
        <w:pStyle w:val="TextBody"/>
        <w:bidi w:val="0"/>
        <w:spacing w:before="0" w:after="0"/>
        <w:ind w:left="0" w:right="0" w:firstLine="72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Gemini Space Station,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Gemini Space Station, Inc. and subsidiaries (the "Company") as of December 31, 2025 and 2024, the related consolidated statements of operations and comprehensive loss, changes in convertible preferred units and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in Accounting Principle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As discussed in Note 2 to the financial statements, the Company changed its method of accounting for digital assets in 2023 due to adoption of Accounting Standards Update No. 2023-08, </w:t>
      </w:r>
      <w:r>
        <w:rPr>
          <w:rFonts w:ascii="Times New Roman;serif" w:hAnsi="Times New Roman;serif"/>
          <w:b w:val="false"/>
          <w:i/>
          <w:color w:val="000000"/>
          <w:sz w:val="20"/>
        </w:rPr>
        <w:t xml:space="preserve">Intangibles - Goodwill and Other - Crypto Assets </w:t>
      </w:r>
      <w:r>
        <w:rPr>
          <w:rFonts w:ascii="Times New Roman;serif" w:hAnsi="Times New Roman;serif"/>
          <w:b w:val="false"/>
          <w:color w:val="000000"/>
          <w:sz w:val="20"/>
        </w:rPr>
        <w:t>(Subtopic 350-60).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Deloitte &amp; Touche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16840"/>
                <wp:effectExtent l="0" t="0" r="0" b="0"/>
                <wp:wrapNone/>
                <wp:docPr id="146" name="Frame1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11"/>
        <w:gridCol w:w="2304"/>
        <w:gridCol w:w="2265"/>
        <w:gridCol w:w="196"/>
        <w:gridCol w:w="871"/>
        <w:gridCol w:w="109"/>
        <w:gridCol w:w="109"/>
        <w:gridCol w:w="109"/>
        <w:gridCol w:w="109"/>
        <w:gridCol w:w="196"/>
        <w:gridCol w:w="871"/>
        <w:gridCol w:w="155"/>
      </w:tblGrid>
      <w:tr>
        <w:trPr/>
        <w:tc>
          <w:tcPr>
            <w:tcW w:w="2911"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Assets </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custodial funds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575,628 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held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470,101 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 crypto assets pledged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168,300 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Accounts receivable, net</w:t>
            </w:r>
            <w:r>
              <w:rPr>
                <w:rFonts w:ascii="Times New Roman;serif" w:hAnsi="Times New Roman;serif"/>
                <w:b w:val="false"/>
                <w:color w:val="000000"/>
                <w:sz w:val="12"/>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Credit card receivables pledged,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1,606,251 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1,387,761 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property and equipment,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17,152 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162,143 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1,801,847 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1,593,928 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Convertible Units,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Custodial funds due to customers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574,080 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Accrued expenses</w:t>
            </w:r>
            <w:r>
              <w:rPr>
                <w:rFonts w:ascii="Times New Roman;serif" w:hAnsi="Times New Roman;serif"/>
                <w:b w:val="false"/>
                <w:color w:val="000000"/>
                <w:sz w:val="12"/>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117,612 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562,162 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Funding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1,240,404 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1,348,777 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convertible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248,783 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237,209 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506,145 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1,260,974 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1,854,922 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22)</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Convertible preferred units: 30,955 Series A Units authorized, issued and outstanding with an aggregate liquidation preference of $223,022 as of December 31, 2024; 8,910 Series B Units authorized as of December 31, 2024; 8,887 Series B Units issued and outstanding as of December 31, 2024; and the Series B Units had an aggregate liquidation preference of $423,903 as of December 31, 2024. No shares authorized, issued, and outstanding as of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534,368 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Units: 54,201 Common Units authorized as of December 31, 2024; 50,761 Common Units issued and outstanding as of December 31, 2024. No shares authorized, issued, and outstanding as of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$0.001 per share; No shares authorized, issued and outstanding as of December 31, 2024; 1,000,000 shares authorized, 42,329 shares issued and outstanding as of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par value $0.001 per share; No shares authorized, issued and outstanding as of December 31, 2024; 100,000 shares authorized, and 75,127 shares issued and outstanding as of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16840"/>
                <wp:effectExtent l="0" t="0" r="0" b="0"/>
                <wp:wrapNone/>
                <wp:docPr id="147" name="Frame1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32"/>
        <w:gridCol w:w="2371"/>
        <w:gridCol w:w="2377"/>
        <w:gridCol w:w="196"/>
        <w:gridCol w:w="871"/>
        <w:gridCol w:w="109"/>
        <w:gridCol w:w="109"/>
        <w:gridCol w:w="109"/>
        <w:gridCol w:w="109"/>
        <w:gridCol w:w="196"/>
        <w:gridCol w:w="871"/>
        <w:gridCol w:w="155"/>
      </w:tblGrid>
      <w:tr>
        <w:trPr/>
        <w:tc>
          <w:tcPr>
            <w:tcW w:w="2732"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$0.001 per share; No shares authorized, issued and outstanding as of December 31, 2024; 20,000 shares authorized, no shares issued and outstanding as of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0 and 284 shares as of December 31, 2024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662,091 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(1,460,440)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 (deficit)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(795,362)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convertible units,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1,801,847 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1,593,928 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Includes related party amounts of $0.1 million and $0.2 million in Accounts receivable, net as of December 31, 2025 and December 31, 2024, respectively, as outlined in Note 21. Related Party Transactions.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r>
              <w:rPr>
                <w:rFonts w:ascii="Times New Roman;serif" w:hAnsi="Times New Roman;serif"/>
                <w:b w:val="false"/>
                <w:color w:val="000000"/>
                <w:sz w:val="14"/>
              </w:rPr>
              <w:t xml:space="preserve">(2) Includes related party amounts of $0 and $0.1 million in Accrued expenses as of December 31, 2025 and December 31, 2024, respectively, as outlined in </w:t>
            </w:r>
            <w:r>
              <w:rPr>
                <w:rFonts w:ascii="Times New Roman;serif" w:hAnsi="Times New Roman;serif"/>
                <w:b w:val="false"/>
                <w:i/>
                <w:color w:val="000000"/>
                <w:sz w:val="14"/>
              </w:rPr>
              <w:t>Note 21. Related Party Transactions.</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16840"/>
                <wp:effectExtent l="0" t="0" r="0" b="0"/>
                <wp:wrapNone/>
                <wp:docPr id="148" name="Frame1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187"/>
        <w:gridCol w:w="1608"/>
        <w:gridCol w:w="1580"/>
        <w:gridCol w:w="140"/>
        <w:gridCol w:w="140"/>
        <w:gridCol w:w="140"/>
        <w:gridCol w:w="140"/>
        <w:gridCol w:w="253"/>
        <w:gridCol w:w="1013"/>
        <w:gridCol w:w="140"/>
        <w:gridCol w:w="109"/>
        <w:gridCol w:w="109"/>
        <w:gridCol w:w="109"/>
        <w:gridCol w:w="196"/>
        <w:gridCol w:w="775"/>
        <w:gridCol w:w="109"/>
        <w:gridCol w:w="109"/>
        <w:gridCol w:w="109"/>
        <w:gridCol w:w="109"/>
        <w:gridCol w:w="196"/>
        <w:gridCol w:w="775"/>
        <w:gridCol w:w="159"/>
      </w:tblGrid>
      <w:tr>
        <w:trPr/>
        <w:tc>
          <w:tcPr>
            <w:tcW w:w="2187"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09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457" w:type="dxa"/>
            <w:gridSpan w:val="6"/>
            <w:tcBorders/>
          </w:tcPr>
          <w:p>
            <w:pPr>
              <w:pStyle w:val="TableContents"/>
              <w:bidi w:val="0"/>
              <w:spacing w:before="0" w:after="283"/>
              <w:jc w:val="left"/>
              <w:rPr>
                <w:sz w:val="4"/>
                <w:szCs w:val="4"/>
              </w:rPr>
            </w:pPr>
            <w:r>
              <w:rPr>
                <w:sz w:val="4"/>
                <w:szCs w:val="4"/>
              </w:rPr>
            </w:r>
          </w:p>
        </w:tc>
      </w:tr>
      <w:tr>
        <w:trPr/>
        <w:tc>
          <w:tcPr>
            <w:tcW w:w="5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Net revenue</w:t>
            </w:r>
            <w:r>
              <w:rPr>
                <w:rFonts w:ascii="Times New Roman;serif" w:hAnsi="Times New Roman;serif"/>
                <w:b w:val="false"/>
                <w:color w:val="000000"/>
                <w:sz w:val="12"/>
              </w:rPr>
              <w:t>(1)</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174,093 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96,313 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179,572 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98,137 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compensation</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225,872 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140,757 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Technology</w:t>
            </w:r>
            <w:r>
              <w:rPr>
                <w:rFonts w:ascii="Times New Roman;serif" w:hAnsi="Times New Roman;serif"/>
                <w:b w:val="false"/>
                <w:color w:val="000000"/>
                <w:sz w:val="12"/>
              </w:rPr>
              <w:t>(2)</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77,127 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General and administrative</w:t>
            </w:r>
            <w:r>
              <w:rPr>
                <w:rFonts w:ascii="Times New Roman;serif" w:hAnsi="Times New Roman;serif"/>
                <w:b w:val="false"/>
                <w:color w:val="000000"/>
                <w:sz w:val="12"/>
              </w:rPr>
              <w:t>(3)</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77,477 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155,488 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losses</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21,341 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97,127 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processing</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26,284 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operating expenses </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525,228 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409,732 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(345,656)</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(311,595)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income (expense): </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gain (loss) on crypto assets and receivable, crypto assets pledged</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368,091 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gain (loss) on related party crypto loans</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(32,142)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(355,354)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convertible notes</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(25,789)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loans</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(119,309)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related party loans</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(53,187)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(17,084)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third party loans</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(8,857)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funding debt</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(243,144)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(12,154)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before income taxes</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(588,800)</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(150,920)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(323,749)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(582,813)</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(158,546)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(319,675)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common stockholders</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(15.52)</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(66.25)</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basic and diluted:</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37,552 </w:t>
            </w:r>
          </w:p>
        </w:tc>
        <w:tc>
          <w:tcPr>
            <w:tcW w:w="1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4,825 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(582,813)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(319,675)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net of tax</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attributable to instrument-specific credit risk</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 (loss)</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(584,913)</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(156,655)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(318,411)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10"/>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(1) Net revenue includes related party amounts of $2.5 million, $2.2 million and $1.0 million for the years ended December 31, 2025, 2024 and 2023, respectively, as outlined in Note 21. Related Party Transactions.</w:t>
            </w:r>
          </w:p>
        </w:tc>
        <w:tc>
          <w:tcPr>
            <w:tcW w:w="2864" w:type="dxa"/>
            <w:gridSpan w:val="12"/>
            <w:tcBorders/>
          </w:tcPr>
          <w:p>
            <w:pPr>
              <w:pStyle w:val="TableContents"/>
              <w:bidi w:val="0"/>
              <w:spacing w:before="0" w:after="283"/>
              <w:jc w:val="left"/>
              <w:rPr>
                <w:sz w:val="4"/>
                <w:szCs w:val="4"/>
              </w:rPr>
            </w:pPr>
            <w:r>
              <w:rPr>
                <w:sz w:val="4"/>
                <w:szCs w:val="4"/>
              </w:rPr>
            </w:r>
          </w:p>
        </w:tc>
      </w:tr>
      <w:tr>
        <w:trPr/>
        <w:tc>
          <w:tcPr>
            <w:tcW w:w="7341" w:type="dxa"/>
            <w:gridSpan w:val="10"/>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(2) Technology expenses includes related party amounts of $0.8 million, $0.7 million and $1.7 million for the years ended December 31, 2025, 2024 and 2023, respectively, as outlined in Note 21. Related Party Transactions.</w:t>
            </w:r>
          </w:p>
        </w:tc>
        <w:tc>
          <w:tcPr>
            <w:tcW w:w="2864" w:type="dxa"/>
            <w:gridSpan w:val="12"/>
            <w:tcBorders/>
          </w:tcPr>
          <w:p>
            <w:pPr>
              <w:pStyle w:val="TableContents"/>
              <w:bidi w:val="0"/>
              <w:spacing w:before="0" w:after="283"/>
              <w:jc w:val="left"/>
              <w:rPr>
                <w:sz w:val="4"/>
                <w:szCs w:val="4"/>
              </w:rPr>
            </w:pPr>
            <w:r>
              <w:rPr>
                <w:sz w:val="4"/>
                <w:szCs w:val="4"/>
              </w:rPr>
            </w:r>
          </w:p>
        </w:tc>
      </w:tr>
      <w:tr>
        <w:trPr/>
        <w:tc>
          <w:tcPr>
            <w:tcW w:w="7341" w:type="dxa"/>
            <w:gridSpan w:val="10"/>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(3) General and administrative expenses includes related party amounts of $1.0 million, $0 and less than $0.1 million for the years ended December 31, 2025, 2024 and 2023, respectively, as outlined in Note 21. Related Party Transactions.</w:t>
            </w:r>
          </w:p>
        </w:tc>
        <w:tc>
          <w:tcPr>
            <w:tcW w:w="2864"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16840"/>
                <wp:effectExtent l="0" t="0" r="0" b="0"/>
                <wp:wrapNone/>
                <wp:docPr id="149" name="Frame1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Statements of Changes in Convertible Preferred Units and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before="0" w:after="0"/>
        <w:jc w:val="center"/>
        <w:rPr/>
      </w:pPr>
      <w:r>
        <w:rPr/>
      </w:r>
    </w:p>
    <w:tbl>
      <w:tblPr>
        <w:tblW w:w="14364" w:type="dxa"/>
        <w:jc w:val="center"/>
        <w:tblInd w:w="0" w:type="dxa"/>
        <w:tblLayout w:type="fixed"/>
        <w:tblCellMar>
          <w:top w:w="28" w:type="dxa"/>
          <w:left w:w="28" w:type="dxa"/>
          <w:bottom w:w="28" w:type="dxa"/>
          <w:right w:w="28" w:type="dxa"/>
        </w:tblCellMar>
      </w:tblPr>
      <w:tblGrid>
        <w:gridCol w:w="560"/>
        <w:gridCol w:w="215"/>
        <w:gridCol w:w="216"/>
        <w:gridCol w:w="277"/>
        <w:gridCol w:w="279"/>
        <w:gridCol w:w="141"/>
        <w:gridCol w:w="109"/>
        <w:gridCol w:w="109"/>
        <w:gridCol w:w="109"/>
        <w:gridCol w:w="181"/>
        <w:gridCol w:w="616"/>
        <w:gridCol w:w="109"/>
        <w:gridCol w:w="109"/>
        <w:gridCol w:w="109"/>
        <w:gridCol w:w="109"/>
        <w:gridCol w:w="277"/>
        <w:gridCol w:w="279"/>
        <w:gridCol w:w="141"/>
        <w:gridCol w:w="109"/>
        <w:gridCol w:w="109"/>
        <w:gridCol w:w="109"/>
        <w:gridCol w:w="181"/>
        <w:gridCol w:w="406"/>
        <w:gridCol w:w="109"/>
        <w:gridCol w:w="109"/>
        <w:gridCol w:w="109"/>
        <w:gridCol w:w="109"/>
        <w:gridCol w:w="307"/>
        <w:gridCol w:w="309"/>
        <w:gridCol w:w="171"/>
        <w:gridCol w:w="109"/>
        <w:gridCol w:w="109"/>
        <w:gridCol w:w="109"/>
        <w:gridCol w:w="181"/>
        <w:gridCol w:w="406"/>
        <w:gridCol w:w="109"/>
        <w:gridCol w:w="109"/>
        <w:gridCol w:w="109"/>
        <w:gridCol w:w="109"/>
        <w:gridCol w:w="203"/>
        <w:gridCol w:w="203"/>
        <w:gridCol w:w="171"/>
        <w:gridCol w:w="109"/>
        <w:gridCol w:w="109"/>
        <w:gridCol w:w="109"/>
        <w:gridCol w:w="181"/>
        <w:gridCol w:w="406"/>
        <w:gridCol w:w="109"/>
        <w:gridCol w:w="109"/>
        <w:gridCol w:w="109"/>
        <w:gridCol w:w="109"/>
        <w:gridCol w:w="181"/>
        <w:gridCol w:w="721"/>
        <w:gridCol w:w="109"/>
        <w:gridCol w:w="109"/>
        <w:gridCol w:w="109"/>
        <w:gridCol w:w="109"/>
        <w:gridCol w:w="244"/>
        <w:gridCol w:w="629"/>
        <w:gridCol w:w="148"/>
        <w:gridCol w:w="109"/>
        <w:gridCol w:w="109"/>
        <w:gridCol w:w="109"/>
        <w:gridCol w:w="181"/>
        <w:gridCol w:w="736"/>
        <w:gridCol w:w="109"/>
        <w:gridCol w:w="327"/>
        <w:gridCol w:w="181"/>
        <w:gridCol w:w="631"/>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Convertible Preferred Units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December 31, 2022</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39,842 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534,368 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52,462 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640,655 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(168)</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(1,131,579)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(491,092)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Cumulative effects of changes in accounting principles (Note 2)</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149,360 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149,360 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January 1, 2023</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39,842 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534,368 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52,462 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640,655 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(168)</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(982,219)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(341,732)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Units due to equity awards granted, net of forfeitures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(2,768)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(319,675)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(319,675)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1,264 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December 31, 2023</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39,842 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534,368 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49,694 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656,495 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1,096 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(1,301,894)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(644,303)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Units due to equity awards granted, net of forfeitures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(158,546)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(158,546)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1,891 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December 31, 2024</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39,842 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534,368 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50,761 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662,091 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2,987 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(1,460,440)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(795,362)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Units due to equity awards granted, net of forfeitures</w:t>
            </w:r>
          </w:p>
        </w:tc>
        <w:tc>
          <w:tcPr>
            <w:tcW w:w="5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20,497 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Issuance of common stock in connection with IPO, net of underwriting discounts and commissions and offering costs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15,479 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391,165 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in connection with concurrent placement with Nasdaq</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Conversion of convertible preferred units to common stock in connection with IPO</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(39,842)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(534,368)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54,541 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534,368 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Conversion of convertible notes and related party terms loans to common stock in connection with IPO</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31,056 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869,536 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869,567 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Conversion of Common Units to common stock in connection with IPO</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(71,258)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14,403 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upon settlement of stock awards, net of shares withheld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(8,304)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Shares withheld for employee tax withholdings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Forfeiture of unvested restricted shares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(582,813)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(582,813)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(2,100)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December 31, 2025</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117,740 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(284)</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2,583,689 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887 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(2,043,253)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540,873 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16840"/>
                <wp:effectExtent l="0" t="0" r="0" b="0"/>
                <wp:wrapNone/>
                <wp:docPr id="150" name="Frame1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356"/>
        <w:gridCol w:w="1935"/>
        <w:gridCol w:w="1950"/>
        <w:gridCol w:w="196"/>
        <w:gridCol w:w="783"/>
        <w:gridCol w:w="109"/>
        <w:gridCol w:w="109"/>
        <w:gridCol w:w="109"/>
        <w:gridCol w:w="109"/>
        <w:gridCol w:w="196"/>
        <w:gridCol w:w="783"/>
        <w:gridCol w:w="109"/>
        <w:gridCol w:w="109"/>
        <w:gridCol w:w="109"/>
        <w:gridCol w:w="109"/>
        <w:gridCol w:w="196"/>
        <w:gridCol w:w="783"/>
        <w:gridCol w:w="155"/>
      </w:tblGrid>
      <w:tr>
        <w:trPr/>
        <w:tc>
          <w:tcPr>
            <w:tcW w:w="2356"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(319,675)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conversion of convertible notes and term loans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convertible notes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loans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loss (gain) on crypto assets and receivable, crypto assets pledged</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(368,091)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loss on related party crypto loans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355,354 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transaction losses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received as revenue</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payments for expenses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Warrants received as revenue</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loss (gain) on derivatives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 net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crypto assets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Disposal of crypto assets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due to related parties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due to third parties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due for funding debt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(207,294)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disposal of crypto assets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credit card receivables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repayments of credit card receivables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internally developed software costs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6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software, property and equipment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 net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33,218 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in connection with initial public offering, net of underwriting discounts and commissions and offering costs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in connection with concurrent private placement with Nasdaq</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Custodial funds due to customers, net of redemptions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(698,368)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related party convertible notes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624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16840"/>
                <wp:effectExtent l="0" t="0" r="0" b="0"/>
                <wp:wrapNone/>
                <wp:docPr id="151" name="Frame1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52"/>
        <w:gridCol w:w="1933"/>
        <w:gridCol w:w="1943"/>
        <w:gridCol w:w="196"/>
        <w:gridCol w:w="789"/>
        <w:gridCol w:w="109"/>
        <w:gridCol w:w="109"/>
        <w:gridCol w:w="109"/>
        <w:gridCol w:w="109"/>
        <w:gridCol w:w="196"/>
        <w:gridCol w:w="736"/>
        <w:gridCol w:w="109"/>
        <w:gridCol w:w="109"/>
        <w:gridCol w:w="109"/>
        <w:gridCol w:w="109"/>
        <w:gridCol w:w="196"/>
        <w:gridCol w:w="736"/>
        <w:gridCol w:w="156"/>
      </w:tblGrid>
      <w:tr>
        <w:trPr/>
        <w:tc>
          <w:tcPr>
            <w:tcW w:w="2452"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related party loans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third party loan, net of discount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funding debt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funding debt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third party loans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withholding taxes on settlement of restricted stock units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tax withholdings related to net share settlements of equity awards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(521,436)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restricted cash and cash equivalents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(695,512)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cash equivalents, beginning of period</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1,142,342 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cash equivalents,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446,830 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cash equivalents consisted of the following:</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custodial funds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383,227 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restricted 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446,830 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2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2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2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2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2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2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schedule of non-cash investing and financing activities</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related party loans and related party convertible notes to common stock in connection with initial public offering</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(869,567)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convertible preferred units to common stock in connection with initial public offering</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loans received in crypto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203,583 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related party loans into related party convertible notes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related party loans denominated in crypto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364,225 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receivables posted as collateral for funding debt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posted as collateral for third party loans,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101,975 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collateral received (returned) for derivatives, net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third party loan interest denominated in crypto</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attributable to instrument-specific credit risk</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convertible notes received in crypto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NFT artist commissions and cross listings paid with crypto assets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 receivable collections denominated in crypto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28" w:type="dxa"/>
            <w:gridSpan w:val="3"/>
            <w:tcBorders/>
            <w:vAlign w:val="center"/>
          </w:tcPr>
          <w:p>
            <w:pPr>
              <w:pStyle w:val="TableContents"/>
              <w:bidi w:val="0"/>
              <w:spacing w:before="0" w:after="283"/>
              <w:jc w:val="left"/>
              <w:rPr>
                <w:sz w:val="4"/>
                <w:szCs w:val="4"/>
              </w:rPr>
            </w:pPr>
            <w:r>
              <w:rPr>
                <w:sz w:val="4"/>
                <w:szCs w:val="4"/>
              </w:rPr>
            </w:r>
          </w:p>
        </w:tc>
        <w:tc>
          <w:tcPr>
            <w:tcW w:w="3877" w:type="dxa"/>
            <w:gridSpan w:val="15"/>
            <w:tcBorders/>
          </w:tcPr>
          <w:p>
            <w:pPr>
              <w:pStyle w:val="TableContents"/>
              <w:bidi w:val="0"/>
              <w:spacing w:before="0" w:after="283"/>
              <w:jc w:val="left"/>
              <w:rPr>
                <w:sz w:val="4"/>
                <w:szCs w:val="4"/>
              </w:rPr>
            </w:pPr>
            <w:r>
              <w:rPr>
                <w:sz w:val="4"/>
                <w:szCs w:val="4"/>
              </w:rPr>
            </w:r>
          </w:p>
        </w:tc>
      </w:tr>
      <w:tr>
        <w:trPr/>
        <w:tc>
          <w:tcPr>
            <w:tcW w:w="632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6"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16840"/>
                <wp:effectExtent l="0" t="0" r="0" b="0"/>
                <wp:wrapNone/>
                <wp:docPr id="152" name="Frame1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1. Description of Business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Gemini Space Station, Inc., (the "Corporation", “Company”, “Gemini”, or “Space Station”) a Nevada corporation, was formed on February 4, 2025, and has a fiscal year end of December 31. Pursuant to a reorganization that occurred concurrently with the initial public offering (“IPO”) in September 2025, the Corporation is a holding company, and its principal asset is a controlling equity interest in Gemini Space Station, LLC (“GSS, LLC”), a related party. The Corporation is the sole managing member of GSS, LLC and controls all of its businesses and affairs.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offers a mobile and web based crypto asset exchange platform, proprietary wallet infrastructure and custody solutions, high-performance over-the-counter trading solutions tailored to institutions and professional clients, a proprietary United States dollar-backed stablecoin, a crypto asset staking service, a credit card product that offers crypto asset rewards on customer purchases, and a regulated prediction markets platform. The Company operates in multiple jurisdictions and provides security solutions across all of its product offerings.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subsidiaries are regulated by, and/or subject to oversight or indirect impact from, various state, federal and self-regulatory organizational governing bodies, including the New York State Department of Financial Services (“NYSDFS”), the Financial Industry Regulatory Authority (“FINRA”), and the Commodity Futures Trading Commission (“CFTC”)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Initial Public Offering and Concurrent Private Placement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Company completed its IPO, in which the Company issued and sold 15.9 million shares of its Class A common stock at a public offering price of $28.00 per share, which includes the exercise in full by the underwriters of their option to purchase from the Company an additional 0.3 million shares of the Company’s Class A common stock and 0.5 million shares of the Company’s Class A common stock from the selling stockholders. The sale of shares by the selling stockholders did not result in any proceeds to the Company. Net proceeds from the IPO were $406.3 million after deducting the underwriting discounts and commissions and before deducting offering costs of $15.2 million. Deferred, direct offering costs were capitalized and consisted of fees and expenses incurred in connection with the sale of the Company's common stock in the IPO, including legal, accounting, printing and other offering related costs. Upon completion of the IPO, these deferred offering costs were reclassified from current assets to stockholders’ equity and recorded against the net proceeds from the offering. Concurrent with the IPO, Nasdaq, Inc. ("Nasdaq") entered into an agreement with the Company to purchase 1.9 million shares of Class A common stock in a private placement at $26.25 per share. The gross proceeds to the Company from the concurrent private placement were $50.0 million.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completion of the IPO, the Company filed its Amended and Restated Articles of Incorporation effective September 15, 2025 (the “Articles of Incorporation”), which authorized a total of 1.1 billion shares of common stock, par value $0.001 per share (the “Common Stock”), consisting of 1.0 billion shares of Class A common stock, par value $0.001 per share and 100.0 million shares of Class B common stock, par value $0.001 per share, and 20.0 million shares of preferred stock, par value $0.001 per share.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i) all shares of the Company's outstanding convertible preferred units automatically converted into 15.1 million shares of Class A common stock and 39.4 million shares of Class B common stock, ii) all of the outstanding related party convertible notes and related party term loans automatically converted into 31.1 million shares of Class B common stock, and iii) all outstanding shares of Common Units were converted into 9.8 million shares of Class A common stock and 4.6 million shares of Class B common stock. As a result, following the completion of the IPO, the Company has two classes of authorized common stock: Class A common stock and Class B common stock, which were outstanding as of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16840"/>
                <wp:effectExtent l="0" t="0" r="0" b="0"/>
                <wp:wrapNone/>
                <wp:docPr id="153" name="Frame1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include the accounts of Gemini Space Station, Inc., and its subsidiaries. All intercompany balances and transactions have been eliminated in consolidation. The consolidated financial statements are prepared in conformity with accounting principles generally accepted in the United States of America (“U.S. GAAP”) and pursuant to the rules and regulations of the Securities and Exchange Commission for annual reporting. In management's opinion, the consolidated financial statements reflect all adjustments, including normal recurring adjustments, necessary for the fair presentation of the Company's financial statements for the periods presented.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reclassifications have been made to prior year amounts to conform to the current year presentation. The impact of these reclassifications is immaterial to the presentation of the consolidated financial statements taken as a whole and had no impact on previously reported total assets, total liabilities and net loss.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the consolidated financial statements in accordance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the fair value of crypto assets, allowance for transaction losses, contingent liabilities, the Company's incremental borrowing rate, fair value of derivatives, fair value of convertible notes, fair value of strategic investments, fair value of stock-based awards issued prior to the IPO, fair value of stock options, fair value of compensatory warrants received or issued in connection with certain services agreements, the useful life of long-lived assets, and the recoverability of long-lived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Actual results and outcomes may differ from management’s estimates and assumptions due to risks and uncertainties. To the extent that there are material differences between management's estimates and actual results, the Company’s consolidated financial statements could be materially affected. The Company bases its estimates on historical experience and on various other assumptions that are believed to be reasonable under the circumstances, the result of which forms the basis for making judgments about the carrying values of assets and liabilities.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Emerging Growth Company Status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an “emerging growth company” as defined in Section 2(a)(19) of the Securities Act of 1933, as amended (the “Securities Act”), as modified by the Jumpstart Our Business Startups Act of 2012 (the “JOBS Act)”, and may take advantage of certain exemptions from various reporting requirements that are applicable to other public companies that are not emerging growth companies. Under the JOBS Act emerging growth companies can delay adopting new or revised accounting standards until such time as those standards apply to private companies. The Company has elected to avail itself of this extended transition period and, as a result, will not be required to adopt new or revised accounting standards on the relevant dates on which adoption of such standards is required for other public companies. The Company may take advantage of these exemptions up until the last day of the fiscal year following the fifth anniversary of the IPO or such earlier time that it is no longer an emerging growth company. The Company would cease to be an emerging growth company on the last day of the fiscal year in which it has total annual gross revenues of $1.235 billion or more, has more than $700.0 million in market value of its stock held by non-affiliates (and it has been a public company for at least 12 months, and has filed on annual report on Form 10-K), or it issues more than $1.0 billion in non-convertible debt securities over a three-year period.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16840"/>
                <wp:effectExtent l="0" t="0" r="0" b="0"/>
                <wp:wrapNone/>
                <wp:docPr id="154" name="Frame1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Foreign currency transactions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reporting currency is the U.S. Dollar. The Company is exposed to foreign currency translation gains and losses related to transactions denominated in foreign currencies and its investments in foreign subsidiaries with functional currencies other than the U.S. Dollar. The financial statements of foreign subsidiaries and the Company's assets and liabilities denominated in foreign currencies are translated from their respective functional currencies into U.S. dollars at the exchange rates in effect at the balance sheet date. Revenue and expense amounts are translated at the average exchange rate for the period. Foreign currency translation gains and losses, net of tax as applicable, are recorded in Other comprehensive income (loss) within the consolidated statements of operations and comprehensive loss.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Cumulative translation adjustments are released from Other comprehensive income (loss) and recorded on the consolidated statements of operations and comprehensive loss when the Company disposes or no longer has control of a consolidated subsidiary. Realized and unrealized gains and losses on foreign currency transactions represent the remeasurement of assets and liabilities into U.S. Dollars and are included in Other income (expense), net within the consolidated statements of operations and comprehensive loss. Non-monetary assets are measured based on historical exchange rates.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applies fair value measurement principles to certain assets and liabilities that are disclosed at fair value in the financial statements on a recurring basis. The Company defines fair value as the price that would be received from selling an asset or paid to transfer a liability in an orderly transaction between market participants at the measurement date. Fair value is estimated by applying a three-level hierarchy which reflects the degree to which objective prices in active markets are available. The fair value hierarchy prioritizes the use of observable inputs over unobservable inputs and requires the Company to maximize the use of observable inputs in determining fair value. The hierarchy outlines the following levels used to classify measurement: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Level 1</w:t>
      </w:r>
      <w:r>
        <w:rPr>
          <w:rFonts w:ascii="Times New Roman;serif" w:hAnsi="Times New Roman;serif"/>
          <w:b w:val="false"/>
          <w:color w:val="000000"/>
          <w:sz w:val="20"/>
        </w:rPr>
        <w:t>: Unadjusted quoted prices in active markets that are accessible at the measurement date for identical assets or liabilities.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Level 2</w:t>
      </w:r>
      <w:r>
        <w:rPr>
          <w:rFonts w:ascii="Times New Roman;serif" w:hAnsi="Times New Roman;serif"/>
          <w:b w:val="false"/>
          <w:color w:val="000000"/>
          <w:sz w:val="20"/>
        </w:rPr>
        <w:t>: Observable inputs other than those that meet the criteria outlined in Level 1, quoted prices for identical or similar assets or liabilities in inactive markets, or other inputs that are observable or can be validated by observable market data for substantially the full term of the assets or liabilities.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Level 3</w:t>
      </w:r>
      <w:r>
        <w:rPr>
          <w:rFonts w:ascii="Times New Roman;serif" w:hAnsi="Times New Roman;serif"/>
          <w:b w:val="false"/>
          <w:color w:val="000000"/>
          <w:sz w:val="20"/>
        </w:rPr>
        <w:t>: Inputs that are generally unobservable and significant to the fair value measurement of the assets or liabilities typically resulting in a situation in which management would make an estimate of assumptions that market participants would use in pricing the asset or liability.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maintains its cash primarily as deposits at various banks. A</w:t>
      </w:r>
      <w:r>
        <w:rPr>
          <w:rFonts w:ascii="Times New Roman;serif" w:hAnsi="Times New Roman;serif"/>
          <w:b w:val="false"/>
          <w:color w:val="000000"/>
          <w:sz w:val="20"/>
          <w:shd w:fill="FFFFFF" w:val="clear"/>
        </w:rPr>
        <w:t xml:space="preserve">ll highly liquid investments with an original maturity of three months or less when purchased are considered to be cash equivalents. </w:t>
      </w:r>
      <w:r>
        <w:rPr>
          <w:rFonts w:ascii="Times New Roman;serif" w:hAnsi="Times New Roman;serif"/>
          <w:b w:val="false"/>
          <w:color w:val="000000"/>
          <w:sz w:val="20"/>
        </w:rPr>
        <w:t>Funds held on behalf of customers are reported separately on the consolidated balance sheets and outlined in further detail under the Customer custodial funds and custodial funds due to customers section 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Restricted cash and cash equivalents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holds restricted cash deposits at financial institutions as part of its regulatory and operational requirements, including capital reserve requirements set forth under its Supervisory Agreement with the NYSDFS and program agreement with its credit card partner. The Company also holds restricted cash and cash equivalent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16840"/>
                <wp:effectExtent l="0" t="0" r="0" b="0"/>
                <wp:wrapNone/>
                <wp:docPr id="155" name="Frame1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pPr>
      <w:r>
        <w:rPr>
          <w:rFonts w:ascii="Times New Roman;serif" w:hAnsi="Times New Roman;serif"/>
          <w:b w:val="false"/>
          <w:color w:val="000000"/>
          <w:sz w:val="20"/>
        </w:rPr>
        <w:t xml:space="preserve">deposits at financial institutions as collateral associated with its banking partnerships and surety bonds. </w:t>
      </w:r>
      <w:r>
        <w:rPr>
          <w:rFonts w:ascii="Times New Roman;serif" w:hAnsi="Times New Roman;serif"/>
          <w:b w:val="false"/>
          <w:color w:val="000000"/>
          <w:sz w:val="20"/>
          <w:shd w:fill="FFFFFF" w:val="clear"/>
        </w:rPr>
        <w:t xml:space="preserve">The Company considers all highly liquid investments with an original maturity of three months or less when purchased, that also fit the criteria outlined earlier in this paragraph, to be restricted cash equivalents, </w:t>
      </w:r>
      <w:r>
        <w:rPr>
          <w:rFonts w:ascii="Times New Roman;serif" w:hAnsi="Times New Roman;serif"/>
          <w:b w:val="false"/>
          <w:color w:val="000000"/>
          <w:sz w:val="20"/>
        </w:rPr>
        <w:t>including money market funds. Cash and cash equivalents subject to restrictions that expire within one year is included as Restricted cash and cash equivalents on the consolidated balance sheets.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Customer custodial funds and custodial funds due to customers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Customer custodial funds represent restricted cash and cash equivalents maintained in segregated Company bank accounts that are held for the exclusive benefit of customers. Custodial funds due to customers represent cash deposits held by customers in their fiat wallets. The Company restricts the use of the assets underlying the customer custodial funds to meet regulatory requirements and classifies such assets as current based on their purpose and availability to satisfy the Company's corresponding obligation under custodial funds due to customers.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restricted cash deposits at financial institutions related to the Gemini Dollar (“GUSD”). In 2018, the Company began issuing GUSD, as its sole issuer, after obtaining approval from the NYSDFS. GUSD is a cryptographic stored value token built on the Ethereum network that is pegged to the USD on a one-to-one basis. For each GUSD issued, the Company receives one corresponding U.S. Dollar (“USD”) from its customers which the Company deposits in segregated bank accounts for the benefit of GUSD holders or invests in short-term U.S. treasuries, both directly and indirectly via money market funds. Restricted cash related to GUSD is included in Customer custodial funds on the consolidated balance sheets with the related obligation included in Custodial funds due to customers.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Customer custodial funds related to GUSD were $46.6 million and $58.7 million as of December 31, 2025 and 2024, respectively. Customer custodial funds due to customers related to GUSD were $45.6 million and $58.4 million as of December 31, 2025 and 2024,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Crypto assets held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Crypto assets held by the Company are accounted for under ASC 350-60, </w:t>
      </w:r>
      <w:r>
        <w:rPr>
          <w:rFonts w:ascii="Times New Roman;serif" w:hAnsi="Times New Roman;serif"/>
          <w:b w:val="false"/>
          <w:i/>
          <w:color w:val="000000"/>
          <w:sz w:val="20"/>
        </w:rPr>
        <w:t xml:space="preserve">Crypto Assets, </w:t>
      </w:r>
      <w:r>
        <w:rPr>
          <w:rFonts w:ascii="Times New Roman;serif" w:hAnsi="Times New Roman;serif"/>
          <w:b w:val="false"/>
          <w:color w:val="000000"/>
          <w:sz w:val="20"/>
        </w:rPr>
        <w:t xml:space="preserve">and are measured at fair value in accordance with ASC 820, </w:t>
      </w:r>
      <w:r>
        <w:rPr>
          <w:rFonts w:ascii="Times New Roman;serif" w:hAnsi="Times New Roman;serif"/>
          <w:b w:val="false"/>
          <w:i/>
          <w:color w:val="000000"/>
          <w:sz w:val="20"/>
        </w:rPr>
        <w:t xml:space="preserve">Fair Value Measurements. </w:t>
      </w:r>
      <w:r>
        <w:rPr>
          <w:rFonts w:ascii="Times New Roman;serif" w:hAnsi="Times New Roman;serif"/>
          <w:b w:val="false"/>
          <w:color w:val="000000"/>
          <w:sz w:val="20"/>
        </w:rPr>
        <w:t xml:space="preserve">Crypto assets held represent assets that the Company owns and controls and are not held on behalf of customers. Such crypto assets are reflected within Crypto assets held on the consolidated balance sheets. Crypto assets pledged as collateral under certain financing arrangements are included in Crypto assets held when the Company retains effective control over such assets.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a first-in, first-out methodology to assign cost basis to crypto assets. The fair value of each crypto asset is determined by using quoted prices sourced from the Company's exchange platform at the measurement date. Changes in fair value are reflected in Realized and unrealized gain (loss) on crypto assets and receivable, crypto assets pledged on the consolidated statements of operations and comprehensive loss.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considers crypto assets purchased and disposed of nearly immediately to be operating activities in the consolidated statements of cash flows. </w:t>
      </w:r>
      <w:r>
        <w:rPr>
          <w:rFonts w:ascii="Times New Roman;serif" w:hAnsi="Times New Roman;serif"/>
          <w:b w:val="false"/>
          <w:color w:val="231F20"/>
          <w:sz w:val="20"/>
        </w:rPr>
        <w:t xml:space="preserve">Such activities include receiving crypto assets as a form of payment for Transaction revenue and Services revenue. Crypto assets received as a form of payment are generally converted to cash or used to fulfill operating expenses, including crypto rewards. </w:t>
      </w:r>
      <w:r>
        <w:rPr>
          <w:rFonts w:ascii="Times New Roman;serif" w:hAnsi="Times New Roman;serif"/>
          <w:b w:val="false"/>
          <w:color w:val="000000"/>
          <w:sz w:val="20"/>
        </w:rPr>
        <w:t>All other crypto assets purchased and held prior to disposal are primarily classified as investing activities in the consolidated statements of cash flows.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Crypto assets received through forks and airdrops are initially assigned a zero cost basis, as no monetary consideration is exchanged for the crypto assets and no services are performed in connection with their receipt. A fork is a fundamental change to the software underlying a blockchain which results in two different blockchains, the original, and the new version. In some instances, the fork results in the creation of a new crypto asset. An airdrop is when a token is distributed, free of charge, to a specified list of wallet addresses, generally as a way to promote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16840"/>
                <wp:effectExtent l="0" t="0" r="0" b="0"/>
                <wp:wrapNone/>
                <wp:docPr id="156" name="Frame1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token. The Company accounts for such assets by analogizing to applicable accounting guidance for nonreciprocal transfers of nonmonetary assets.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Receivable, crypto assets pledged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Receivable, crypto assets pledged, represent crypto assets which the Company has pledged as collateral for a loan with Galaxy Digital LLC (“Galaxy”), an unaffiliated third party (“Lender”). Under the terms of the arrangement, the Lender has the right to sell, transfer or rehypothecate the pledged assets posted as collateral. The Company does not retain control over the pledged crypto assets, including the ability to direct their use or obtain substantially all of their remaining economic benefits and, as a result, the pledged assets are derecognized and the arrangement is accounted for as a receivable, rather than as a Crypto assets held, on the consolidated balance sheets. If the notional value of crypto assets pledged falls 10% or below from the initial collateral level there will be a margin call and additional crypto will be pledged to restore the collateral balance to the initial level.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receivable includes an embedded derivative related to changes in the fair value of the underlying crypto assets and is therefore measured at fair value. Changes in fair value are reflected in Realized and unrealized gain on crypto assets and receivables, crypto assets pledged on the consolidated statements of operations and comprehensive loss. Refer to </w:t>
      </w:r>
      <w:hyperlink w:anchor="i398e92ff5e2248149c5a58221ea5bce2_166">
        <w:r>
          <w:rPr>
            <w:rStyle w:val="InternetLink"/>
            <w:rFonts w:ascii="Times New Roman;serif" w:hAnsi="Times New Roman;serif"/>
            <w:b w:val="false"/>
            <w:i/>
            <w:strike w:val="false"/>
            <w:dstrike w:val="false"/>
            <w:color w:val="000000"/>
            <w:sz w:val="20"/>
            <w:u w:val="none"/>
            <w:effect w:val="none"/>
          </w:rPr>
          <w:t xml:space="preserve">Note </w:t>
        </w:r>
      </w:hyperlink>
      <w:r>
        <w:rPr>
          <w:rFonts w:ascii="Times New Roman;serif" w:hAnsi="Times New Roman;serif"/>
          <w:b w:val="false"/>
          <w:i/>
          <w:color w:val="000000"/>
          <w:sz w:val="20"/>
        </w:rPr>
        <w:t>14.</w:t>
      </w:r>
      <w:r>
        <w:rPr>
          <w:color w:val="000000"/>
        </w:rPr>
        <w:t xml:space="preserve"> </w:t>
      </w:r>
      <w:hyperlink w:anchor="i398e92ff5e2248149c5a58221ea5bce2_166">
        <w:r>
          <w:rPr>
            <w:rStyle w:val="InternetLink"/>
            <w:rFonts w:ascii="Times New Roman;serif" w:hAnsi="Times New Roman;serif"/>
            <w:b w:val="false"/>
            <w:i/>
            <w:strike w:val="false"/>
            <w:dstrike w:val="false"/>
            <w:color w:val="000000"/>
            <w:sz w:val="20"/>
            <w:u w:val="none"/>
            <w:effect w:val="none"/>
          </w:rPr>
          <w:t>Third Party Loans</w:t>
        </w:r>
      </w:hyperlink>
      <w:r>
        <w:rPr>
          <w:color w:val="000000"/>
        </w:rPr>
        <w:t xml:space="preserve"> </w:t>
      </w:r>
      <w:r>
        <w:rPr>
          <w:rFonts w:ascii="Times New Roman;serif" w:hAnsi="Times New Roman;serif"/>
          <w:b w:val="false"/>
          <w:color w:val="000000"/>
          <w:sz w:val="20"/>
        </w:rPr>
        <w:t>for further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Accounts receivable, net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Accounts receivable are contractual rights to receive cash or crypto assets for services rendered but not yet paid for and rights to future cash payments for purchased credit card receivables. The Company disaggregates its accounts receivable portfolio into categories of receivables, referred to as portfolio segments. These segments consist of retail receivables, custodial fees receivable, staking fees receivable, credit card receivables, and other fees receivable. All portfolio segments are recognized as assets on the Company's consolidated balance sheets presented within Accounts receivable, net.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evaluates accounts receivable for collectability at each reporting date and writes off receivable balances when they are outstanding for over 180 days or when the balance is otherwise deemed to be uncollectible. Losses related to receivables include both expected credit losses recognized in accordance with Accounting Standards Codification (“ASC”) Topic 326, </w:t>
      </w:r>
      <w:r>
        <w:rPr>
          <w:rFonts w:ascii="Times New Roman;serif" w:hAnsi="Times New Roman;serif"/>
          <w:b w:val="false"/>
          <w:i/>
          <w:color w:val="000000"/>
          <w:sz w:val="20"/>
        </w:rPr>
        <w:t>Financial Instruments - Credit Losses</w:t>
      </w:r>
      <w:r>
        <w:rPr>
          <w:color w:val="000000"/>
        </w:rPr>
        <w:t xml:space="preserve"> </w:t>
      </w:r>
      <w:r>
        <w:rPr>
          <w:rFonts w:ascii="Times New Roman;serif" w:hAnsi="Times New Roman;serif"/>
          <w:b w:val="false"/>
          <w:color w:val="000000"/>
          <w:sz w:val="20"/>
        </w:rPr>
        <w:t>and certain non-credit transaction losses. The provision for losses is recorded in Transaction losses on the consolidated statements of operations and comprehensive loss.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Retail receivables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Retail receivables consist of balances outstanding related to canceled or unfunded deposit transactions. Transaction losses typically arise when a customer’s ACH deposit is prefunded or advanced by the Company, allowing for immediate trading via an affiliated entity, and the related ACH deposit subsequently fails to settle on an account where no sufficient collateral is held.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ACH deposits are generally expected to settle within one to five business days. Transactions that remain unfunded beyond this customary settlement period indicate a failed or reversed payment rather than a timing difference. Accordingly, the Company evaluates potential losses on such transactions based on settlement status and the fair value of any collateral available in the customer’s account, with historical experience used to corroborate the limited recoverability of amounts remaining unfunded beyond the normal settlement window.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Retail balances that do not have sufficient collateral in their related customer accounts, and remain unfunded beyond the customary settlement period, are deemed not collectable. The Company has no expectation of transaction losses for balances where the fair value of the collateral securing the exposure is equal to or in excess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16840"/>
                <wp:effectExtent l="0" t="0" r="0" b="0"/>
                <wp:wrapNone/>
                <wp:docPr id="157" name="Frame1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outstanding amount. In cases where the fair value of the collateral is less than the outstanding receivable balance, and it is not reasonably expected that the customer will replenish such shortfall, the Company recognizes an allowance for transaction loss for the unsecured portion of the exposure.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Custodial fees receivable and staking fees receivable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Custodial fees receivable represent the fees earned and receivable by the Company for providing a dedicated secure cold storage solution to customers. The fee is based on a contractual percentage of the daily value of assets under custody and is generally collected on a monthly basis. Such custodial fee revenue is included in Net revenue in the consolidated statements of operations and comprehensive loss.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Staking fees receivable represent the fees earned and receivable by the Company for providing customers with the ability to transfer eligible crypto assets for staking and, as a result, the opportunity to receive staking rewards from the associated blockchain network. In exchange for performing this service, the Company earns a fee that is calculated based on a portion of the staking rewards earned by the customer. Such staking fee revenue is included in Net revenue in the consolidated statements of operations and comprehensive loss.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custodial fees and staking fees receivable included in Accounts receivable, net are denominated in crypto assets. The measurement and related risks associated with crypto-denominated receivables are described further in the Derivatives section below.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evaluating custodial fees receivable, the Company considers the nature of the receivable, historical experience, and the fair value of any collateral held in the customer’s account. Custodial fee receivables are generally collateralized by the balances within the customers' accounts, which the Company has the ability to access to satisfy amounts due. When the fair value of collateral equals or exceeds the outstanding amounts, no transaction loss is recognized. In the event the fair value of available collateral is less than the outstanding receivable balance and the shortfall is not expected to be replenished, the Company records an allowance for transaction losses equal to the unsecured portion of the exposure. In certain arrangements where custodial fees are invoiced in fiat currency, the related receivables are evaluated for collectibility in accordance with the Company’s credit loss policies.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Staking fees receivable primarily arise from timing differences between when rewards are earned based on protocol activity and when such rewards are credited on-chain and therefore generally do not involve customer credit risk. In limited cases where the Company invoices institutional customers in fiat currency for staking services, the resulting receivables represent contractual payment obligations and are assessed for collectibility consistent with the Company’s credit loss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Credit card receivables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partnership with a credit card issuing bank (the “Issuing Bank”), the Company offers a credit card product (the “Gemini Credit Card”) to customers. The Issuing Bank originates credit card loans, and the Company purchases all fee and interest bearing consumer receivables related to the Gemini Credit Card. The Company has a contractual commitment to purchase all credit card receivables originated from the Issuing Bank. As the owner of the receivables, the Company records Gemini Credit Card receivables net of an allowance for expected credit losses in </w:t>
      </w:r>
      <w:r>
        <w:rPr>
          <w:rFonts w:ascii="Times New Roman;serif" w:hAnsi="Times New Roman;serif"/>
          <w:b w:val="false"/>
          <w:color w:val="000000"/>
          <w:sz w:val="20"/>
          <w:shd w:fill="FFFFFF" w:val="clear"/>
        </w:rPr>
        <w:t>Accounts receivable, net</w:t>
      </w:r>
      <w:r>
        <w:rPr>
          <w:color w:val="000000"/>
        </w:rPr>
        <w:t xml:space="preserve"> </w:t>
      </w:r>
      <w:r>
        <w:rPr>
          <w:rFonts w:ascii="Times New Roman;serif" w:hAnsi="Times New Roman;serif"/>
          <w:b w:val="false"/>
          <w:color w:val="000000"/>
          <w:sz w:val="20"/>
        </w:rPr>
        <w:t xml:space="preserve">on the </w:t>
      </w:r>
      <w:r>
        <w:rPr>
          <w:rFonts w:ascii="Times New Roman;serif" w:hAnsi="Times New Roman;serif"/>
          <w:b w:val="false"/>
          <w:color w:val="000000"/>
          <w:sz w:val="20"/>
          <w:shd w:fill="FFFFFF" w:val="clear"/>
        </w:rPr>
        <w:t>consolidated balance sheets</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allowance for expected credit losses is estimated in accordance with ASC 326 and reflects management’s estimate of lifetime expected losses based on historical loss experience, delinquency and aging trends, and other relevant portfolio-level factors. The Company uses a roll-rate methodology, which applies historical delinquency migration and loss patterns to the outstanding receivable balance, to estimate expected losses. The provision for expected credit losses related to credit card receivables is recorded within Transaction losses in the consolidated statements of operations and comprehensive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16840"/>
                <wp:effectExtent l="0" t="0" r="0" b="0"/>
                <wp:wrapNone/>
                <wp:docPr id="158" name="Frame1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has the unconditional right to cancel any unfunded commitments and as such the Company did not record a liability in accordance with Financial Accounting Standards Board (“FASB”) Accounting Standards Codification (“ASC”) Topic 460, </w:t>
      </w:r>
      <w:r>
        <w:rPr>
          <w:rFonts w:ascii="Times New Roman;serif" w:hAnsi="Times New Roman;serif"/>
          <w:b w:val="false"/>
          <w:i/>
          <w:color w:val="000000"/>
          <w:sz w:val="20"/>
        </w:rPr>
        <w:t>Guarantees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fees receivable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additionally has various other receivables with individually immaterial balances which have been assessed for loss based on the nature of the receivable. The Company considers historical loss experience, the aging of its receivable balance, and the fair value of any collateral held when determining the need for an expected loss allowance for transaction losses on other receivable accounts.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Credit card receivables pledged, net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Credit card receivables pledged represent credit card receivables which the Company has pledged as collateral for a warehouse credit facility with an unaffiliated third party. These pledged receivables remain subject to the Company’s allowance for expected credit losses under ASC 326 and are assessed for credit losses on the same basis as unpledged credit card receivables. Refer to </w:t>
      </w:r>
      <w:hyperlink w:anchor="i398e92ff5e2248149c5a58221ea5bce2_166">
        <w:r>
          <w:rPr>
            <w:rStyle w:val="InternetLink"/>
            <w:rFonts w:ascii="Times New Roman;serif" w:hAnsi="Times New Roman;serif"/>
            <w:b w:val="false"/>
            <w:i/>
            <w:strike w:val="false"/>
            <w:dstrike w:val="false"/>
            <w:color w:val="000000"/>
            <w:sz w:val="20"/>
            <w:u w:val="none"/>
            <w:effect w:val="none"/>
          </w:rPr>
          <w:t xml:space="preserve">Note </w:t>
        </w:r>
      </w:hyperlink>
      <w:r>
        <w:rPr>
          <w:rFonts w:ascii="Times New Roman;serif" w:hAnsi="Times New Roman;serif"/>
          <w:b w:val="false"/>
          <w:i/>
          <w:color w:val="000000"/>
          <w:sz w:val="20"/>
        </w:rPr>
        <w:t>15.</w:t>
      </w:r>
      <w:r>
        <w:rPr>
          <w:color w:val="000000"/>
        </w:rPr>
        <w:t xml:space="preserve"> </w:t>
      </w:r>
      <w:r>
        <w:rPr>
          <w:rFonts w:ascii="Times New Roman;serif" w:hAnsi="Times New Roman;serif"/>
          <w:b w:val="false"/>
          <w:i/>
          <w:color w:val="000000"/>
          <w:sz w:val="20"/>
        </w:rPr>
        <w:t xml:space="preserve">Funding Debt </w:t>
      </w:r>
      <w:r>
        <w:rPr>
          <w:rFonts w:ascii="Times New Roman;serif" w:hAnsi="Times New Roman;serif"/>
          <w:b w:val="false"/>
          <w:color w:val="000000"/>
          <w:sz w:val="20"/>
        </w:rPr>
        <w:t>for further details.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Prefunded clearing advance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maintains prefunded clearing balances with third-party clearing organizations to facilitate real-time settlement of prediction market trades. These balances represent short-term clearing advances and are classified within Prepaid expenses and other current assets on the consolidated balance sheets, as they are expected to be utilized or recovered in the ordinary course of operations. The prefunded clearing balances are not customer funds and do not represent cash or restricted cash of the Company. The Company is exposed to counterparty credit risk with respect to these balances; however, management believes such risk is limited based on the regulated status of the clearing organizations and the Company’s ongoing monitoring of such counterparties.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collateral pledged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Company's Repurchase Agreement with New York Digital Investment Group Funding LLC (“NYDIG” ), the Company may be required to post cash collateral to satisfy margin maintenance requirements. Cash posted as collateral remains an asset of the Company and is presented within Prepaid expenses and other current assets on the consolidated balance sheets. The use of such cash collateral by the counterparty is contractually restricted and limited to enforcement or settlement rights under the applicable agreement. Such amounts are recoverable in accordance with the margin and settlement provisions of the applicable agreement.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Stablecoin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stablecoins are accounted for as financial assets and are included in Prepaid expense and other current assets on the consolidated balance sheets. These stablecoins are designed to maintain a stable value relative to fiat currency and are contractually redeemable for cash on demand from the issuer. The Company holds these stablecoins primarily for operational and settlement purposes and expects to convert or utilize them within one year.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financial instruments, primarily consisting of cash and cash equivalents, restricted cash and cash equivalents, customer custodial funds, and accounts receivable, may subject the Company to concentrations of credit risk. The Company generally maintains cash balances in excess of federally insured limits.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16840"/>
                <wp:effectExtent l="0" t="0" r="0" b="0"/>
                <wp:wrapNone/>
                <wp:docPr id="159" name="Frame1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respectively, the Company had no customers that accounted for more than 10% of the Company’s Accounts receivable, net.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during the years ended December 31, 2025 and 2024 and 2023, no customer accounted for more than 10% of Total revenue.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Software, property and equipment, net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Software, property and equipment is stated at cost less accumulated depreciation and amortization. Depreciation and amortization is computed using the straight-line method over the lesser of the estimated useful life of the asset or the remaining lease term. The estimated useful lives of the Company’s software, property and equipment are reassessed on an ongoing basis and are generally as follows:</w:t>
      </w:r>
    </w:p>
    <w:p>
      <w:pPr>
        <w:pStyle w:val="TextBody"/>
        <w:bidi w:val="0"/>
        <w:spacing w:before="0" w:after="0"/>
        <w:jc w:val="both"/>
        <w:rPr/>
      </w:pPr>
      <w:r>
        <w:rPr/>
      </w:r>
    </w:p>
    <w:tbl>
      <w:tblPr>
        <w:tblW w:w="6986" w:type="dxa"/>
        <w:jc w:val="left"/>
        <w:tblInd w:w="0" w:type="dxa"/>
        <w:tblLayout w:type="fixed"/>
        <w:tblCellMar>
          <w:top w:w="28" w:type="dxa"/>
          <w:left w:w="28" w:type="dxa"/>
          <w:bottom w:w="28" w:type="dxa"/>
          <w:right w:w="28" w:type="dxa"/>
        </w:tblCellMar>
      </w:tblPr>
      <w:tblGrid>
        <w:gridCol w:w="1085"/>
        <w:gridCol w:w="954"/>
        <w:gridCol w:w="960"/>
        <w:gridCol w:w="109"/>
        <w:gridCol w:w="109"/>
        <w:gridCol w:w="109"/>
        <w:gridCol w:w="1072"/>
        <w:gridCol w:w="1072"/>
        <w:gridCol w:w="1516"/>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Software,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Useful life</w:t>
            </w:r>
          </w:p>
        </w:tc>
      </w:tr>
      <w:tr>
        <w:trPr/>
        <w:tc>
          <w:tcPr>
            <w:tcW w:w="2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years</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Lesser of useful life or remaining lease term</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years</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Seven years</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Internally developed software consists of costs incurred during the application development stage of internal-use software or implementation of a hosting arrangement that is a service contract. Capitalized costs consist of salaries and compensation costs for employees, fees paid to third party consultants who are directly involved in development efforts, and costs incurred for upgrades and enhancements to add functionality of the software. Other costs that do not meet the capitalization criteria are expensed as incurred.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Intangible assets, net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Intangible assets consist of identifiable intangible assets, including patents, developed technology, and assembled workforce, resulting from asset acquisitions. Finite-lived intangible assets are recorded at fair value, net of accumulated amortization and are amortized on a straight-line basis over their estimated useful lives.</w:t>
      </w:r>
    </w:p>
    <w:tbl>
      <w:tblPr>
        <w:tblW w:w="3507" w:type="dxa"/>
        <w:jc w:val="left"/>
        <w:tblInd w:w="0" w:type="dxa"/>
        <w:tblLayout w:type="fixed"/>
        <w:tblCellMar>
          <w:top w:w="28" w:type="dxa"/>
          <w:left w:w="28" w:type="dxa"/>
          <w:bottom w:w="28" w:type="dxa"/>
          <w:right w:w="28" w:type="dxa"/>
        </w:tblCellMar>
      </w:tblPr>
      <w:tblGrid>
        <w:gridCol w:w="723"/>
        <w:gridCol w:w="634"/>
        <w:gridCol w:w="638"/>
        <w:gridCol w:w="109"/>
        <w:gridCol w:w="109"/>
        <w:gridCol w:w="109"/>
        <w:gridCol w:w="347"/>
        <w:gridCol w:w="347"/>
        <w:gridCol w:w="491"/>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Useful life</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Fifteen years</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Five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Assembled workforce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Five years</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Five years</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 lessee, has entered into long-term lease agreements for office space. At contract inception, the Company determines that an arrangement contains a lease if the contract conveys the right to control the use of an identified asset for a period of time in exchange for consideration. For contracts that contain a lease, the Company recognizes a right-of-use asset and a lease liability on its consolidated balance sheets, where the current and non-current portion of the lease liability is presented in other current liabilities and lease liabilities, respectively.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Right-of-use assets represent the Company’s right to use an underlying asset for the lease term and lease liabilities represent the Company’s obligation to make lease payments arising from the lease. Right-of-use assets and lease liabilities are determined using the Company’s incremental borrowing rate based upon information available at commencement date to recognize the present value of lease payments over the lease term. The Company's right-of-use assets also include prepaid lease payments and are net of any lease incentives.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16840"/>
                <wp:effectExtent l="0" t="0" r="0" b="0"/>
                <wp:wrapNone/>
                <wp:docPr id="160" name="Frame1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apply the practical expedient permitted for purposes of measuring and recognizing short-term leases. As a result, leases with an initial term of 12 months or less are not recorded on the Company's consolidated balance sheets, and the associated lease expense is recognized on a straight-line basis over the lease term. The Company has also elected to not separate lease and non-lease components and accounts for its lease agreements as a single lease component for all asset classes.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Impairment of long-lived assets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The Company evaluates its long-lived assets, including software, property, equipment, intangible assets, and lease right-of-use assets, for impairment whenever events or changes in circumstances indicate that the carrying amount of an asset may not be recoverable. Recoverability of long-lived assets held and used is measured by a comparison of the carrying amount of an asset or an asset group to estimated undiscounted future net cash flows expected to be generated from the use and eventual disposition of the asset or asset group. If such evaluation indicates that the carrying amount of the asset or the asset grou</w:t>
      </w:r>
      <w:r>
        <w:rPr>
          <w:rFonts w:ascii="Times New Roman;serif" w:hAnsi="Times New Roman;serif"/>
          <w:b w:val="false"/>
          <w:color w:val="000000"/>
          <w:sz w:val="20"/>
        </w:rPr>
        <w:t xml:space="preserve">p is not recoverable, any impairment loss would be equal to the amount the carrying value exceeds the fair value.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holds available-for-sale securities, consisting of corporate bonds and equity securities. The Company classifies and accounts for these securities as available-for-sale and carries the investments at fair value. These securities are included in Prepaid expenses and other current assets on the consolidated balance sheets based on their expected liquidity and use in the ordinary course of business.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via its wholly owned subsidiary Gemini Frontier Fund, LLC (“Frontier Fund”), also holds strategic investments where the Company (1) holds less than 20% ownership in the investee, and (2) does not exercise significant influence over the investee. The Company accounts for these investments under the measurement alternative method whereby they are measured at cost, less impairment, subject to upward and downward adjustments resulting from observable price changes for identical or similar investments of the same issuer. These investments are included in Other non-current assets on the consolidated balance sheets.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Frontier Fund holds multiple investments in early stage crypto asset projects. Certain of these investments are in tokens that are restricted or digitally locked via the underlying protocol, which limits the Company's ability to sell such tokens until a predetermined time.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evaluates each investment to determine the appropriate accounting classification based on the nature of the investment and the applicable accounting guidance. Investments are classified as (i) crypto assets that meet the definition of Accounting Standards Update 2023-08 (“ASU 2023-08”), (ii) strategic investments accounted for under the measurement alternative or (iii) other intangible assets subject to cost less impairment treatment, when the investment does not meet the definition of a crypto asset or a financial instrument.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holds warrants from Empery Digital Inc. (“Empery”), formerly known as, Volcon, Inc., received as consideration for providing general asset management services and crypto asset custody services. The warrants give the Company the right to purchase up to 0.9 million shares of Empery's common stock at an exercise price equal to $10.00 per share. The warrants are subject to market-based vesting conditions tied to Empery’s stock price performance. The warrants vest and become exercisable in 20% increments upon Empery’s common stock achieving specified volume-weighted average prices, beginning at $10.00 per share and increasing in $5.00 increments up to $30.00 per share. Non-cash consideration in the form of warrants is measured at fair value on the grant date using a Monte Carlo simulation model, incorporating both observable inputs, such as stock price, exercise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16840"/>
                <wp:effectExtent l="0" t="0" r="0" b="0"/>
                <wp:wrapNone/>
                <wp:docPr id="161" name="Frame1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pPr>
      <w:r>
        <w:rPr>
          <w:rFonts w:ascii="Times New Roman;serif" w:hAnsi="Times New Roman;serif"/>
          <w:b w:val="false"/>
          <w:color w:val="000000"/>
          <w:sz w:val="20"/>
        </w:rPr>
        <w:t xml:space="preserve">price, expected term, risk-free rate, dividend yield, equity volatility, and unobservable inputs, including the probability of achieving stock-price vesting conditions. Revenue related to these warrants is recognized over the estimated period that the related advisory and custodial services are provided, which is determined to be approximately one year, measured at the grant date fair value, and is recognized as advisory fee revenue (see </w:t>
      </w:r>
      <w:r>
        <w:rPr>
          <w:rFonts w:ascii="Times New Roman;serif" w:hAnsi="Times New Roman;serif"/>
          <w:b w:val="false"/>
          <w:i/>
          <w:color w:val="000000"/>
          <w:sz w:val="20"/>
        </w:rPr>
        <w:t>Note 3. Revenue</w:t>
      </w:r>
      <w:r>
        <w:rPr>
          <w:rFonts w:ascii="Times New Roman;serif" w:hAnsi="Times New Roman;serif"/>
          <w:b w:val="false"/>
          <w:color w:val="000000"/>
          <w:sz w:val="20"/>
        </w:rPr>
        <w:t>) included in Net revenue on the consolidated statements of operations and comprehensive loss. The portion of non-cash consideration received in advance of satisfying the related performance obligation is included in Other current liabilities on the consolidated balance sheets.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vested warrants meet the definition of a derivative under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and are recorded as derivative assets at fair value based on the grant date fair value of the vested portion and are included Other non-current assets on the consolidated balance sheets. Subsequent changes in fair value are recognized in Other income (expense), net on the consolidated statements of operations and comprehensive loss. A warrant receivable, representing the unvested portion of the warrants, is included in Other non-current assets on the consolidated balance sheets. As of December 31, 2025, 40% of the warrants' vesting conditions have been met.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flows from revenue related to warrants are recognized as adjustments to reconcile Net loss to Net cash used in operating activities in the consolidated statements of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Derivatives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Embedded derivatives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custodial fees and staking fees receivable included in Accounts receivable, net are denominated in crypto assets. These receivables are hybrid instruments consisting of receivable host contracts containing embedded derivatives driven by changes in fair value of the underlying crypto assets. The receivable host contracts are initially recorded at fair value at the time customers are charged based on the fair value of the underlying crypto assets at that time. The embedded derivatives are subsequently carried at fair value, with changes in fair value recognized in Other income (expense), net on the consolidated statements of operations and comprehensive loss. The receivable host contracts and embedded derivatives are included in Accounts receivable, net on the consolidated balance sheets. Cash flows related to the embedded derivatives are reflected as adjustments to reconcile Net loss to Net cash used in operating activities in the consolidated statements of cash flows.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related party loans may be denominated in bitcoin and ether. As such, these hybrid instruments consist of liability host contracts containing embedded derivatives driven by changes in the fair value of the underlying bitcoin and ether. The liability host contracts are initially recorded at fair value at loan inception based on the fair value of the underlying bitcoin and ether at that time and are subsequently carried at amortized cost. The embedded derivatives are carried at fair value, with changes in fair value recognized in Realized and unrealized gain (loss) on related party crypto loans on the consolidated statements of operations and comprehensive loss. The liability host contracts and embedded derivatives are included in Related party loans on the consolidated balance sheets. Cash flows related to the embedded derivatives are reflected as adjustments to reconcile Net loss to Net cash used in operating activities in the consolidated statements of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Derivative options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and 2024 the Company, via its wholly-owned subsidiary Gemini Voyager Pte. Ltd. (“Voyager”), operated a line of business acting as a principal over-the-counter (“OTC”) broker specializing in digital asset derivatives. Voyager engages in bilateral transactions primarily involving vanilla options on bitcoin and ether. All contracts are negotiated bilaterally with counterparties and settled in fiat or digital assets. To manage market risk associated with OTC option transactions, the Company typically enters into corresponding offsetting options on third party exchanges.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16840"/>
                <wp:effectExtent l="0" t="0" r="0" b="0"/>
                <wp:wrapNone/>
                <wp:docPr id="162" name="Frame1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Derivative assets and liabilities are recorded at fair value using quoted prices in active markets. Derivative assets are included in Prepaid expenses and other current assets, and derivative liabilities are included in Other current liabilities on the consolidated balance sheets at fair value. Subsequent changes in fair value are recognized in Other income (expense), net on the consolidated statements of operations and comprehensive loss. Cash flows from derivative future contracts are reflected as adjustments to reconcile Net loss to Net cash used in operating activities in the consolidated statements of cash flows. The Company does not apply hedge accounting to these instruments and as such no offsetting is applied.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Crypto collateral related to derivative options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requires customers to pledge crypto collateral on short option transactions to serve as security for potential losses that may exceed the customer's initial investment. For certain arrangements, the Company has the right to use, sell, or otherwise control the crypto collateral under the applicable agreements and as such this pledged crypto collateral is recognized on the Company's consolidated balance sheets. When the pledged crypto collateral is actively deployed by the Company, it is recorded within Crypto assets held on the consolidated balance sheets. The Company has an obligation to return the pledged crypto collateral received upon expiration of the derivative contract. This obligation is accounted for within Other current liabilities on the consolidated balance sheets.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commenced using pledged crypto collateral in accordance with its rehypothecation rights and, as a result, classified such collateral within Crypto assets held. In the prior year, although the Company had the contractual right to use the pledged crypto collateral, it did not actively deploy such collateral and therefore classified the related amounts within Prepaid expenses and other current assets. This change in presentation did not impact total current assets, total assets, or net loss in any period presented.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customer arrangements in which the Company does not have the right to use, sell, or otherwise control pledged, such crypto collateral is not recorded on the Company's consolidated balance sheets. The pledged crypto collateral remains the property of the customer and is held solely as security for the customer’s obligations. In the event that a customers losses exceed their initial investment, the Company may apply the pledged crypto collateral to satisfy the customer's obligations in accordance with the applicable agreements.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also required to pledge crypto assets as collateral to third party derivative exchanges in connection with short option transactions. Because the Company retains control of the pledged crypto assets under the applicable agreements, the collateral does not meet the derecognition criteria and continues to be recorded within Crypto assets held on the consolidated balance sheets.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Derivative futures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enters into bitcoin and ether derivative future contracts for trading purposes. The contracts are executed through third party exchanges and are recorded at fair value using quoted prices in active markets. Derivative assets and derivative liabilities are presented on a gross basis and are not offset on the consolidated balance sheets. Derivative assets are included in Prepaid expenses and other current assets, and derivative liabilities are included in Other current liabilities on the consolidated balance sheets, each measured at fair value. Subsequent changes in fair value are recognized in Other income (expense), net on the consolidated statements of operations and comprehensive loss. Cash flows from derivative future contracts are reflected as adjustments to reconcile Net loss to Net cash used in operating activities in the consolidated statements of cash flows. The Company does not apply hedge accounting to these instruments and as such no offsetting is applied.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16840"/>
                <wp:effectExtent l="0" t="0" r="0" b="0"/>
                <wp:wrapNone/>
                <wp:docPr id="163" name="Frame1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556" w:before="0" w:after="0"/>
        <w:jc w:val="both"/>
        <w:rPr>
          <w:rFonts w:ascii="Times New Roman;serif" w:hAnsi="Times New Roman;serif"/>
          <w:b/>
          <w:color w:val="000000"/>
          <w:sz w:val="20"/>
        </w:rPr>
      </w:pPr>
      <w:r>
        <w:rPr>
          <w:rFonts w:ascii="Times New Roman;serif" w:hAnsi="Times New Roman;serif"/>
          <w:b/>
          <w:color w:val="000000"/>
          <w:sz w:val="20"/>
        </w:rPr>
        <w:t>Related party loans and convertible notes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Related party crypto asset loans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crypto lending agreements with Winklevoss Capital Fund, LLC (“WCF”), a related party through common ownership, during the years ended December 31, 2025 and 2024. In addition, crypto lending agreements entered into with WCF in 2022 and 2023 remained outstanding as of December 31, 2025 and 2024. The principal balances of the crypto asset loans are denominated in bitcoin and ether and are fixed at the inception of each loan.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terms of the Company’s crypto asset lending agreements specify the permitted uses of the borrowed crypto assets and the Company retains control within the scope of the agreements to transfer and pledge certain borrowed crypto assets as collateral to access operational liquidity with third parties, including holding such assets in satisfaction of regulatory capital reserve requirements. Accordingly, the borrowed bitcoin and ether held as of December 31, 2025 and 2024 is included in Crypto assets held on the consolidated balance sheets. The related obligations under these arrangements are reflected within Related party loans on the consolidated balance sheets. See </w:t>
      </w:r>
      <w:r>
        <w:rPr>
          <w:rFonts w:ascii="Times New Roman;serif" w:hAnsi="Times New Roman;serif"/>
          <w:b w:val="false"/>
          <w:i/>
          <w:color w:val="000000"/>
          <w:sz w:val="20"/>
        </w:rPr>
        <w:t>Note 13.</w:t>
      </w:r>
      <w:r>
        <w:rPr>
          <w:color w:val="000000"/>
        </w:rPr>
        <w:t xml:space="preserve"> </w:t>
      </w:r>
      <w:r>
        <w:rPr>
          <w:rFonts w:ascii="Times New Roman;serif" w:hAnsi="Times New Roman;serif"/>
          <w:b w:val="false"/>
          <w:i/>
          <w:color w:val="000000"/>
          <w:sz w:val="20"/>
        </w:rPr>
        <w:t xml:space="preserve">Related Party Loans and Convertible Notes </w:t>
      </w:r>
      <w:r>
        <w:rPr>
          <w:rFonts w:ascii="Times New Roman;serif" w:hAnsi="Times New Roman;serif"/>
          <w:b w:val="false"/>
          <w:color w:val="000000"/>
          <w:sz w:val="20"/>
        </w:rPr>
        <w:t>for further details.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Related party term loans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entered into term loan agreements with WCF during the years ended December 31, 2025 and 2024. The principal balances of the term loans were denominated in USD and could be funded in cash, bitcoin and ether, with principal amounts fixed at the inception of each loan. The terms of the Company’s term loan lending agreements specified that the borrowed crypto assets could be used for general business purposes of the Company and its wholly owned subsidiaries.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2025, the Company entered into a term loan agreement with WCF that included a conversion feature, and during the same period, the Company amended its 2024 term loan agreement with WCF to add a comparable conversion feature. As permitted under ASC Topic 825, </w:t>
      </w:r>
      <w:r>
        <w:rPr>
          <w:rFonts w:ascii="Times New Roman;serif" w:hAnsi="Times New Roman;serif"/>
          <w:b w:val="false"/>
          <w:i/>
          <w:color w:val="000000"/>
          <w:sz w:val="20"/>
        </w:rPr>
        <w:t>Financial Instruments</w:t>
      </w:r>
      <w:r>
        <w:rPr>
          <w:color w:val="000000"/>
        </w:rPr>
        <w:t xml:space="preserve"> </w:t>
      </w:r>
      <w:r>
        <w:rPr>
          <w:rFonts w:ascii="Times New Roman;serif" w:hAnsi="Times New Roman;serif"/>
          <w:b w:val="false"/>
          <w:color w:val="000000"/>
          <w:sz w:val="20"/>
        </w:rPr>
        <w:t xml:space="preserve">(“ASC 825”), the Company elected to account for these convertible term loans, which met the required criteria, at fair value at inception. Subsequent changes in fair value were recorded as Change in fair value on related party loans on the consolidated statements of operations and comprehensive loss. The portion of total changes in fair value of the notes attributable to changes in instrument-specific credit risk were determined through specific measurement of periodic changes in the discount rate assumption exclusive of base market changes and were presented as a component of other comprehensive income (loss) in the accompanying consolidated statements of operations and comprehensive loss.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related party term loans are included in Related party loans on the consolidated balance sheets. In connection with the Company's IPO, all outstanding related party term loans converted into shares of the Company's Class B common stock and are no longer outstanding. See </w:t>
      </w:r>
      <w:r>
        <w:rPr>
          <w:rFonts w:ascii="Times New Roman;serif" w:hAnsi="Times New Roman;serif"/>
          <w:b w:val="false"/>
          <w:i/>
          <w:color w:val="000000"/>
          <w:sz w:val="20"/>
        </w:rPr>
        <w:t>Note 13.</w:t>
      </w:r>
      <w:r>
        <w:rPr>
          <w:color w:val="000000"/>
        </w:rPr>
        <w:t xml:space="preserve"> </w:t>
      </w:r>
      <w:r>
        <w:rPr>
          <w:rFonts w:ascii="Times New Roman;serif" w:hAnsi="Times New Roman;serif"/>
          <w:b w:val="false"/>
          <w:i/>
          <w:color w:val="000000"/>
          <w:sz w:val="20"/>
        </w:rPr>
        <w:t xml:space="preserve">Related Party Loans and Convertible Notes </w:t>
      </w:r>
      <w:r>
        <w:rPr>
          <w:rFonts w:ascii="Times New Roman;serif" w:hAnsi="Times New Roman;serif"/>
          <w:b w:val="false"/>
          <w:color w:val="000000"/>
          <w:sz w:val="20"/>
        </w:rPr>
        <w:t>for additional details.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Related party convertible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convertible note agreements with WCF in 2023 and 2024 that remained outstanding as of December 31, 2024. As permitted under ASC 825, the Company elected to account for its convertible notes, which met the required criteria, at fair value at inception. Convertible notes are included in Related party convertible notes on the consolidated balance sheets. Subsequent changes in fair value were recorded as Change in fair value on related party convertible notes on the consolidated statements of operations and comprehensive loss. The portion of total changes in fair value of the notes attributable to changes in instrument-specific credit risk were determined through specific measurement of periodic changes in the discount rate assumption exclusive of base market changes and were presented as a component of other comprehensive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16840"/>
                <wp:effectExtent l="0" t="0" r="0" b="0"/>
                <wp:wrapNone/>
                <wp:docPr id="164" name="Frame1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pPr>
      <w:r>
        <w:rPr>
          <w:rFonts w:ascii="Times New Roman;serif" w:hAnsi="Times New Roman;serif"/>
          <w:b w:val="false"/>
          <w:color w:val="000000"/>
          <w:sz w:val="20"/>
        </w:rPr>
        <w:t xml:space="preserve">(loss) in the accompanying consolidated statements of operations and comprehensive loss. As a result of electing the fair value option, direct costs and fees related to the convertible notes were expensed as incurred. See </w:t>
      </w:r>
      <w:r>
        <w:rPr>
          <w:rFonts w:ascii="Times New Roman;serif" w:hAnsi="Times New Roman;serif"/>
          <w:b w:val="false"/>
          <w:i/>
          <w:color w:val="000000"/>
          <w:sz w:val="20"/>
        </w:rPr>
        <w:t>Note 13.</w:t>
      </w:r>
      <w:r>
        <w:rPr>
          <w:color w:val="000000"/>
        </w:rPr>
        <w:t xml:space="preserve"> </w:t>
      </w:r>
      <w:r>
        <w:rPr>
          <w:rFonts w:ascii="Times New Roman;serif" w:hAnsi="Times New Roman;serif"/>
          <w:b w:val="false"/>
          <w:i/>
          <w:color w:val="000000"/>
          <w:sz w:val="20"/>
        </w:rPr>
        <w:t xml:space="preserve">Related Party Loans and Convertible Notes </w:t>
      </w:r>
      <w:r>
        <w:rPr>
          <w:rFonts w:ascii="Times New Roman;serif" w:hAnsi="Times New Roman;serif"/>
          <w:b w:val="false"/>
          <w:color w:val="000000"/>
          <w:sz w:val="20"/>
        </w:rPr>
        <w:t xml:space="preserve">for additional details.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Upon completion of the IPO in September 2025, all of the Company's outstanding related party convertible notes and related party convertible term loans (as described above) automatically converted into 31.1 million shares of Class B common stock.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Third party loans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enters into financing arrangements with third party counterparties in the ordinary course of business, including loan agreements and sale and repurchase transactions that may be secured by the Company’s crypto assets or other collateral.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evaluates such arrangements to determine whether they represent a sale of crypto assets or a secured borrowing. When the Company retains effective control over the underlying crypto assets, including the risks and rewards of ownership and the obligation to repurchase the assets at a determinable price, the transaction is accounted for as a secured borrowing rather than a sale. In such cases, the crypto assets pledged as collateral remain recorded within Crypto assets held, and the related obligation is recorded as a liability within Third party loans on the consolidated balance sheets.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the Company does not retain effective control over transferred crypto assets, the transfer is accounted for as a sale and the crypto assets are derecognized, as further described in “Receivable, crypto assets pledged”.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Third party loans are initially recognized at their principal amount, net of issuance costs or discounts when applicable, and are subsequently measured at amortized cost. The Company does not elect the fair value option for these instruments. Interest expense, including the amortization of issuance costs and discounts, is recognized in Interest expense on third party loans in the consolidated statements of operations and comprehensive loss.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Third party loans that are payable on demand or contractually due within one year are classified as current liabilities on the consolidated balance sheets. See </w:t>
      </w:r>
      <w:r>
        <w:rPr>
          <w:rFonts w:ascii="Times New Roman;serif" w:hAnsi="Times New Roman;serif"/>
          <w:b w:val="false"/>
          <w:i/>
          <w:color w:val="000000"/>
          <w:sz w:val="20"/>
        </w:rPr>
        <w:t>Note 14. Third Party Loans</w:t>
      </w:r>
      <w:r>
        <w:rPr>
          <w:color w:val="000000"/>
        </w:rPr>
        <w:t xml:space="preserve"> </w:t>
      </w:r>
      <w:r>
        <w:rPr>
          <w:rFonts w:ascii="Times New Roman;serif" w:hAnsi="Times New Roman;serif"/>
          <w:b w:val="false"/>
          <w:color w:val="000000"/>
          <w:sz w:val="20"/>
        </w:rPr>
        <w:t>for additional details.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Funding debt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enters into funding arrangements with third party counterparties, including revolving credit facilities, to finance specific business activities. Such arrangements are classified as Funding debt on the consolidated balance sheets. Funding debt is recognized as a liability at the amount of proceeds received upon drawdown, net of deferred financing costs when applicable, and is subsequently measured at amortized cost. Deferred financing costs related to revolving credit arrangements are recorded as assets and amortized over the term of the arrangement.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Funding debt may include variable or contingent interest rate features. The Company evaluates such features in accordance with ASC 815 and has determined that these features do not require bifurcation as embedded derivatives.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is recognized in Interest expense on funding debt in the consolidated statements of operations and comprehensive loss.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Funding debt that is payable on demand, subject to acceleration, or contractually due within one year is classified as a current liability on the consolidated balance sheets. See </w:t>
      </w:r>
      <w:r>
        <w:rPr>
          <w:rFonts w:ascii="Times New Roman;serif" w:hAnsi="Times New Roman;serif"/>
          <w:b w:val="false"/>
          <w:i/>
          <w:color w:val="000000"/>
          <w:sz w:val="20"/>
        </w:rPr>
        <w:t xml:space="preserve">Note 15. Funding Debt </w:t>
      </w:r>
      <w:r>
        <w:rPr>
          <w:rFonts w:ascii="Times New Roman;serif" w:hAnsi="Times New Roman;serif"/>
          <w:b w:val="false"/>
          <w:color w:val="000000"/>
          <w:sz w:val="20"/>
        </w:rPr>
        <w:t xml:space="preserve">for additional details.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16840"/>
                <wp:effectExtent l="0" t="0" r="0" b="0"/>
                <wp:wrapNone/>
                <wp:docPr id="165" name="Frame1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See </w:t>
      </w:r>
      <w:hyperlink w:anchor="i398e92ff5e2248149c5a58221ea5bce2_130">
        <w:r>
          <w:rPr>
            <w:rStyle w:val="InternetLink"/>
            <w:rFonts w:ascii="Times New Roman;serif" w:hAnsi="Times New Roman;serif"/>
            <w:b w:val="false"/>
            <w:i/>
            <w:strike w:val="false"/>
            <w:dstrike w:val="false"/>
            <w:color w:val="000000"/>
            <w:sz w:val="20"/>
            <w:u w:val="none"/>
            <w:effect w:val="none"/>
          </w:rPr>
          <w:t>Note</w:t>
        </w:r>
      </w:hyperlink>
      <w:hyperlink w:anchor="i398e92ff5e2248149c5a58221ea5bce2_130">
        <w:r>
          <w:rPr>
            <w:rStyle w:val="InternetLink"/>
            <w:strike w:val="false"/>
            <w:dstrike w:val="false"/>
            <w:color w:val="000000"/>
            <w:u w:val="none"/>
            <w:effect w:val="none"/>
          </w:rPr>
          <w:t xml:space="preserve"> </w:t>
        </w:r>
      </w:hyperlink>
      <w:r>
        <w:rPr>
          <w:rFonts w:ascii="Times New Roman;serif" w:hAnsi="Times New Roman;serif"/>
          <w:b w:val="false"/>
          <w:i/>
          <w:color w:val="000000"/>
          <w:sz w:val="20"/>
        </w:rPr>
        <w:t>3.</w:t>
      </w:r>
      <w:hyperlink w:anchor="i398e92ff5e2248149c5a58221ea5bce2_130">
        <w:r>
          <w:rPr>
            <w:rStyle w:val="InternetLink"/>
            <w:strike w:val="false"/>
            <w:dstrike w:val="false"/>
            <w:color w:val="000000"/>
            <w:u w:val="none"/>
            <w:effect w:val="none"/>
          </w:rPr>
          <w:t xml:space="preserve"> </w:t>
        </w:r>
      </w:hyperlink>
      <w:hyperlink w:anchor="i398e92ff5e2248149c5a58221ea5bce2_130">
        <w:r>
          <w:rPr>
            <w:rStyle w:val="InternetLink"/>
            <w:rFonts w:ascii="Times New Roman;serif" w:hAnsi="Times New Roman;serif"/>
            <w:b w:val="false"/>
            <w:i/>
            <w:strike w:val="false"/>
            <w:dstrike w:val="false"/>
            <w:color w:val="000000"/>
            <w:sz w:val="20"/>
            <w:u w:val="none"/>
            <w:effect w:val="none"/>
          </w:rPr>
          <w:t>Revenue</w:t>
        </w:r>
      </w:hyperlink>
      <w:r>
        <w:rPr>
          <w:rFonts w:ascii="Times New Roman;serif" w:hAnsi="Times New Roman;serif"/>
          <w:b w:val="false"/>
          <w:color w:val="000000"/>
          <w:sz w:val="20"/>
        </w:rPr>
        <w:t>, for information on the Company’s accounting policies for revenue recognition.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Transaction processing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Transaction processing expense includes costs incurred to operate, secure and monitor the Company’s exchange platform, wallet services, staking services and other business lines. These costs include account payment processing fees, blockchain transaction and mining fees, rewards paid or credited to customers in connection with staking arrangements, and fees paid to other financial institutions for customer transaction activity.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Transaction losses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Transaction losses are expenses related to canceled or unfunded deposit transactions from retail customers, current expected losses related to credit card receivables and any other miscellaneous operational losses. Refer to the description of transaction losses in the Accounts receivable, net section above for further details.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Technology expense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Technology expense includes costs incurred to operate and maintain the Company’s exchange platform, technology infrastructure, and other technology-enabled business lines. These costs include amortization of intangible assets, software licenses, cloud computing and data hosting costs, cybersecurity and equipment costs necessary to operate and maintain the Company's exchange platform and other business lines.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includes costs incurred to promote the Company’s brand, products, and services and to acquire, retain, and engage customers. These costs include advertising and promotional expenses, credit card rewards and customer incentive programs, sponsorships and partnerships, marketing campaigns, and other sales and marketing–related costs. Advertising costs are expensed as incurred.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2024, and 2023 advertising expense was $45.8 million, $9.9 million, and $3.4 million,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income (expense), net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Other income (expense), net primarily reflects market-driven valuation changes, including foreign currency translation gains and losses, gains and losses on derivatives, including changes in fair value of embedded derivatives. Other income (expense), net also includes changes in the fair value of strategic investments and warrants, gain on conversion of convertible notes and term loans, operating-related transactions such as sublease income and realized gains and losses related to customer liability settlement and accrued expenses. In addition, Other income (expense), net includes realized gains related to settlement matters as disclosed in </w:t>
      </w:r>
      <w:hyperlink w:anchor="i398e92ff5e2248149c5a58221ea5bce2_199">
        <w:r>
          <w:rPr>
            <w:rStyle w:val="InternetLink"/>
            <w:rFonts w:ascii="Times New Roman;serif" w:hAnsi="Times New Roman;serif"/>
            <w:b w:val="false"/>
            <w:i/>
            <w:strike w:val="false"/>
            <w:dstrike w:val="false"/>
            <w:color w:val="000000"/>
            <w:sz w:val="20"/>
            <w:u w:val="none"/>
            <w:effect w:val="none"/>
          </w:rPr>
          <w:t xml:space="preserve">Note </w:t>
        </w:r>
      </w:hyperlink>
      <w:r>
        <w:rPr>
          <w:rFonts w:ascii="Times New Roman;serif" w:hAnsi="Times New Roman;serif"/>
          <w:b w:val="false"/>
          <w:i/>
          <w:color w:val="000000"/>
          <w:sz w:val="20"/>
        </w:rPr>
        <w:t>22.</w:t>
      </w:r>
      <w:hyperlink w:anchor="i398e92ff5e2248149c5a58221ea5bce2_199">
        <w:r>
          <w:rPr>
            <w:rStyle w:val="InternetLink"/>
            <w:rFonts w:ascii="Times New Roman;serif" w:hAnsi="Times New Roman;serif"/>
            <w:b w:val="false"/>
            <w:i/>
            <w:strike w:val="false"/>
            <w:dstrike w:val="false"/>
            <w:color w:val="000000"/>
            <w:sz w:val="20"/>
            <w:u w:val="none"/>
            <w:effect w:val="none"/>
          </w:rPr>
          <w:t xml:space="preserve"> Commitments and Contingencies</w:t>
        </w:r>
      </w:hyperlink>
      <w:r>
        <w:rPr>
          <w:rFonts w:ascii="Times New Roman;serif" w:hAnsi="Times New Roman;serif"/>
          <w:b w:val="false"/>
          <w:i/>
          <w:color w:val="000000"/>
          <w:sz w:val="20"/>
        </w:rPr>
        <w:t>.</w:t>
      </w:r>
      <w:r>
        <w:rPr>
          <w:color w:val="00000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 plans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IPO, the Company maintains two equity incentive plans: the Gemini Space Station, Inc. 2025 Omnibus Incentive Plan (the “Equity Plan”) and the Gemini Space Station, Inc. 2025 Employee Stock Purchase Plan (the “ESPP”).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16840"/>
                <wp:effectExtent l="0" t="0" r="0" b="0"/>
                <wp:wrapNone/>
                <wp:docPr id="166" name="Frame1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Equity Plan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Equity Plan provides for the granting of stock options, RSUs, and restricted stock awards (“RSAs”). The number of shares available for grant and issuance under the Equity Plan will be automatically increased on January 1st of each of the first 10 fiscal years during the term of the Equity Plan by the lesser of (a) 5% of the total number of shares of all classes of the Company’s common stock issued and outstanding on each December 31st immediately prior to the date of increase or (b) such number of shares determined by the Board or the compensation committee of the Board.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ESPP</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ESPP allows eligible employees the option to purchase shares of the Company’s Class A common stock at a 15% discount through accumulated payroll deductions over 6-month offering periods commencing on each June 1 and December 1 period, subject to an annual statutory limitation of $25,000 per year. The purchase price is equal to 85% of the fair market value of the Company's common stock on the first date of an offering or the date of purchase, whichever is lower. The number of shares available for grant and issuance under the ESPP will be automatically increased on January 1st of each of the first 10 fiscal years during the term of the ESPP by the lesser of (a) 1% of the total number of shares of all classes of the Company’s common stock outstanding on each December 31st immediately prior to the date of increase, (b) 1,500,000 shares of common stock, or (c) such number of shares determined by the Board or the compensation committee of the Board.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Types of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grants non-qualified stock options (“NSOs”) with contractual periods of up to 10 years and at prices determined by the Board. NSOs were granted to certain executives of the Company. The exercise price of an option shall not be less than 100% of the estimated fair value of the underlying shares on the date of the grant.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Stock options vest upon the satisfaction of service-based and performance-based conditions. The performance condition is based on the achievement of specified Company stock-price targets during a seven-year performance period. Each award is divided into four tranches that vest upon the achievement of the corresponding stock-price targets. The service-based condition is satisfied as to 50% of the award upon continued service through August 15, 2028, and as to the remaining 50% upon continued service through August 15, 2030. If the applicable stock-price targets are not achieved within the performance period, the unearned portion of the award is forfeited. Upon certain qualifying terminations of employment or a change in control, service-based vesting may accelerate and/or vesting may occur on a prorated or interpolated basis in accordance with the award agreement. Upon vesting, one share of Class A common stock is issued from the Company’s authorized shares under the Equity Plan for each stock option.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RSUs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grants RSUs to certain of its employees, directors, and consultants that vest upon the satisfaction of service-based condition. In general, RSUs vest over a service period of four years, with 25% vesting on the first anniversary of the vesting commencement date and 75% vesting in consecutive monthly or quarterly installments over the remaining three-year period. Upon vesting, one share of Class A common stock is issued from the Company’s authorized shares under the Equity Plan for each RSU. Participants are entitled to dividends and voting rights only upon vesting.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16840"/>
                <wp:effectExtent l="0" t="0" r="0" b="0"/>
                <wp:wrapNone/>
                <wp:docPr id="167" name="Frame1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Restricted Stock Awards (“RSAs”)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issue shares of restricted Class A common stock to its employees, directors, and consultants. Participants are entitled to dividends and voting rights only upon issuance. Vesting of RSAs is dependent on the satisfaction of a service-based condition or performance condition. The Company has the right to repurchase shares at par value when the vesting condition is not satisfied.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Valuation of Awards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estimates the fair value of RSUs and RSAs based on the fair value of the Company’s Class A common stock on the date of grant, which is the closing price of the Company’s Class A common stock as reported on the Nasdaq Global Select Market on the grant date.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estimates the fair value of stock options with only service-based conditions and purchase rights under the ESPP on the date of grant using the Black-Scholes-Merton Option-Pricing Model. The model requires management to make a number of assumptions, including the fair value and expected volatility of the Company’s underlying common stock price, expected life of the option, risk-free interest rate, and expected dividend yield, which are calculated as follows:</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fair value of the underlying stock is the fair value of the Company’s common stock on the date of grant, which is the closing price of the Company's Class A common stock as reported on the Nasdaq Global Select Market on the grant date.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expected stock price volatility assumption for the Company’s stock is determined by using a weighted average of the historical stock price volatility of comparable companies from a representative peer group, as sufficient trading history for the Company’s common stock is not available.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 uses historical exercise information and contractual terms of options to estimate the expected term.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risk-free interest rate for periods within the expected life of the option is based on the U.S. Treasury zero coupon bonds with terms consistent with the expected term of the award at the time of grant.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expected dividend yield assumption is based on the Company’s history and expectation of no dividend payouts.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determines the fair value of performance awards subject to a market condition using a Monte Carlo Simulation Model (a binomial lattice-based valuation model). The Monte Carlo Simulation Model uses multiple input variables to determine the probability of satisfying the market condition requirements. The fair values of the awards are not subject to change based on future market conditions.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Expense Attribution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for RSUs, RSAs, and stock options with only service-based conditions, and purchase rights under the ESPP, is recorded on a straight-line basis over the requisite service period. The Company has elected to account for forfeitures of awards as they occur, with previously recognized compensation reversed in the period that the awards are forfeited.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uses the accelerated attribution method to recognize expense over the requisite service period for performance awards, or tranches thereof, subject to a market condition. Once the associated market condition becomes probable of being achieved, stock-based compensation expense is recognized according to the market-based fair value measured on the grant date, subject to continued service over the period. This expense is recognized regardless of whether or not the market condition is ultimately satisfied.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16840"/>
                <wp:effectExtent l="0" t="0" r="0" b="0"/>
                <wp:wrapNone/>
                <wp:docPr id="168" name="Frame1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Historical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Common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IPO, the Company issued three classes of common units (collectively referred to as the "Common Units") including basic common units (the "Basic Common Units"), catch up common units (the "Catch Up Common Units"), and capital common units A (the "Capital Common A Units"). The Company entered into profits interest compensation arrangements with employees and non-employees settled in the form of Basic Common Units and Catch Up Common Units of Gemini Astronaut Corps, LLC (the “Incentive Units”). Gemini Astronaut Corps, LLC was formed for the sole purpose of holding Basic Common Units and Catch Up Common Units of the Company. Each Incentive Unit awarded to a recipient directly corresponded to a Basic Common Unit or Catch Up Common Units of the Company that was held by Gemini Astronaut Corps, LLC, such that recipients indirectly received Common Units of the Company as awards.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Incentive Units of Gemini Astronaut Corps, LLC and the corresponding Common Units of the Company were profits interests of Gemini Astronaut Corps, LLC and the Company, respectively.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also issued phantom awards (the "Original Phantom Units") to certain employees. The vested Original Phantom Units entitled the recipients to receive equivalent cash payment when and if payments were made to Incentive Units. Upon certain separation events, vested Original Phantom Units are repurchased from recipients by the Company with cash, based on the fair value of Incentive Units as of the repurchase date. The Original Phantom Units were accounted for as a liability under ASC 710, </w:t>
      </w:r>
      <w:r>
        <w:rPr>
          <w:rFonts w:ascii="Times New Roman;serif" w:hAnsi="Times New Roman;serif"/>
          <w:b w:val="false"/>
          <w:i/>
          <w:color w:val="000000"/>
          <w:sz w:val="20"/>
        </w:rPr>
        <w:t>Compensation</w:t>
      </w:r>
      <w:r>
        <w:rPr>
          <w:rFonts w:ascii="Times New Roman;serif" w:hAnsi="Times New Roman;serif"/>
          <w:b w:val="false"/>
          <w:color w:val="000000"/>
          <w:sz w:val="20"/>
        </w:rPr>
        <w:t xml:space="preserve">, as they were not legal form equity and they did not provide recipients with the ability to retain residual interests upon vesting after termination.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Beginning in 2024, the Company granted phantom awards (the “Phantom Units”) with adjusted terms such that upon a termination event without cause, the Company would not repurchase with cash the vested Phantom Units. Instead, the recipient would retain the Phantom Units until a change in control event. As the repurchase event was not probable to occur as of the reporting date, the Phantom Units were treated as equity classified under ASC 718, </w:t>
      </w:r>
      <w:r>
        <w:rPr>
          <w:rFonts w:ascii="Times New Roman;serif" w:hAnsi="Times New Roman;serif"/>
          <w:b w:val="false"/>
          <w:i/>
          <w:color w:val="000000"/>
          <w:sz w:val="20"/>
        </w:rPr>
        <w:t>Stock-Based Compensation</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Phantom Unit awards and certain Incentive Unit (“Service-Based Incentive Unit”) awards vested solely according to service-based conditions. The service-based vesting condition was typically met over a four-year period, with 25% vesting on the first anniversary of the vesting commencement date and 75% vesting in consecutive monthly installments over the remaining three-year period. As the awards vested solely on service-based vesting conditions, the Company had elected to recognize expense using the straight-line method over the entire requisite service period of each individual grant.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Original Phantom Units typically vested in a similar manner to the Phantom Units described above, however, under ASC 710, the Company recognized compensation expense associated with the Original Phantom Units based on their estimated present value. The expense was recorded straight-line over the service period of the award. The outstanding Original Phantom Unit liability was remeasured at each reporting period until the date on which the units are cash settled or repurchased.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awards granted in 2020, for up to 1,300,000 Incentive Units, (the “Performance-Based Incentive Units”) vested on the basis of achieving certain performance metrics relating to the gross monthly merchandise volume (“GMV”) of Nifty Gateway, LLC, a consolidated subsidiary, over a specified period, in addition to continuous service throughout such period. For these awards, recognition was performed using the accelerated attribution method, such that each individual vesting tranche was recognized over the requisite service period for that specific tranche. Recognition of expense for performance-based awards occurred to the extent the performance conditions were probable of being met, or had been met, as of each reporting date.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16840"/>
                <wp:effectExtent l="0" t="0" r="0" b="0"/>
                <wp:wrapNone/>
                <wp:docPr id="169" name="Frame1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2022, the Company entered into two asset acquisitions for which the Company granted sellers common stock units (“Service-Based Common Units”) which vested solely according to service-based conditions for key employees. The number of Service-Based Common Units issued to sellers was based on the continued employment of certain key employees. The service-based vesting condition was met over a two year service period with 50% vesting on the first anniversary of the grant date and the remaining vesting at the end of the service period. The Company had elected to recognize expense using the straight-line method over the entire requisite service period of the grant.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completion of the IPO in September 2025, all outstanding shares of Common Units were converted into 9.8 million shares of Class A common stock and 4.6 million shares of Class B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elected to account for the effects of all stock-based compensation forfeitures of awards at the time the forfeitures occur.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Stock-based compensation expense relating to Incentive Units, Service-Based Common Units, Phantom Units, stock options, RSUs and RSAs is included in Salaries and compensation on the consolidated statements of operations and comprehensive loss. Bonus expense relating to Original Phantom Units is included in Salaries and compensation on the consolidated statements of operations and comprehensive loss. Refer to the </w:t>
      </w:r>
      <w:r>
        <w:rPr>
          <w:rFonts w:ascii="Times New Roman;serif" w:hAnsi="Times New Roman;serif"/>
          <w:b w:val="false"/>
          <w:i/>
          <w:color w:val="000000"/>
          <w:sz w:val="20"/>
        </w:rPr>
        <w:t>Note 18. Stock-Based Compensation</w:t>
      </w:r>
      <w:r>
        <w:rPr>
          <w:color w:val="000000"/>
        </w:rPr>
        <w:t xml:space="preserve"> </w:t>
      </w:r>
      <w:r>
        <w:rPr>
          <w:rFonts w:ascii="Times New Roman;serif" w:hAnsi="Times New Roman;serif"/>
          <w:b w:val="false"/>
          <w:color w:val="000000"/>
          <w:sz w:val="20"/>
        </w:rPr>
        <w:t>for further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IPO, the Company was a limited liability company treated as a partnership for U.S. federal and state income tax purposes. Accordingly, taxable income or loss was passed through to the Company’s members. As such, no recognition of income taxes for the Company has been provided for in the accompanying consolidated financial statements prior to the IPO, with an exception for certain U.S. domestic corporations and certain foreign operations, as discussed below. Uncertain tax positions, if any, taken by the members are not uncertain positions of the Company.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has wholly owned U.S. subsidiaries, including Gemini Intergalactic, LLC (“Intergalactic”) and others, that made elections to be treated as associations taxable as corporations for U.S. income tax purposes. Intergalactic, similar corporations, and certain wholly owned controlled foreign corporations (“CFCs”) owned by Intergalactic, follow the guidance of FASB ASC Topic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(“ASC 740”) for income tax purposes. In addition, any other U.S. C Corporations held by the Company also follow the same ASC 740 guidance (collectively, “Income Taxed Affiliates”). Prior to the IPO, the respective Income Taxed Affiliates record standalone tax provisions for the anticipated tax consequences of the reported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Subsequent to the IPO, the Company is a corporation for U.S. federal and state income tax purposes. Accordingly, recognition of income taxes for the Company has been provided for in the accompanying consolidated financial statements for activity subsequent to the IPO.</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accounts for income taxes using the asset and liability method whereby deferred tax asset and liability account balances are determined based on temporary differences between the financial statements and tax bases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16840"/>
                <wp:effectExtent l="0" t="0" r="0" b="0"/>
                <wp:wrapNone/>
                <wp:docPr id="170" name="Frame1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Net loss per share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computes net loss per share using the two-class method required for participating securities and multiple classes of common stock. The two-class method requires income available to common stockholders for the period to be allocated between shares of common stock and participating securities based upon their respective rights to receive distributions as if all income for the period had been distributed. Prior to the IPO, the Company’s convertible preferred units and vested Incentive Units were deemed participating securities. Subsequent to the IPO, the Company has not issued any instruments that are deemed participating securities.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net loss per share is computed by dividing net loss attributable to each class of stockholders by the weighted-average number of outstanding shares of common stock during the period. Diluted net loss per share is computed using the weighted-average number of outstanding shares of common stock and, when dilutive, potential shares of common stock outstanding during the period. Potential shares of common stock consist of certain service-based stock-based awards granted in certain acquisitions, conversion of the convertible preferred units, and conversion of the convertible notes prior to the IPO and stock-based awards granted in connection with and subsequent to the IPO.</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loss per share calculations for all periods prior to the IPO have been retrospectively adjusted for the equivalent number of shares outstanding immediately after the IPO to effect the reclassification of the pre-IPO Common Units into the post-IPO Class A common stock and Class B common stock. Subsequent to the IPO, net loss per share was calculated based on the weighted average number of common stock then outstanding.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 risk factors</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the market risk factors listed below.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Crypto Assets Under Custody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holds crypto assets under custody in a fiduciary or agency capacity for its customers. These are assets that the Company holds directly or indirectly on behalf of customers under a safekeeping or custody arrangement and are beneficially owned by the Company’s customers. In accordance with U.S. GAAP, these assets and liabilities are not included on the Company’s consolidated balance sheets.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Company’s standard user agreement with customers, customers may deposit crypto assets that are transferred into the custody of the Company and held in one or more Gemini pooled digital wallets controlled and secured by the Company. Customers have a beneficial ownership interest in the crypto assets that are allocated to them on Gemini’s ledger. Crypto asset balances held in the customer deposit accounts are restricted from general use of the Company.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engages Nakamoto, Ltd., an affiliated captive insurer, along with another carrier, to provide $25.0 million in crime insurance coverage for crypto assets held in Gemini's hot wallet, and various third party insurance carriers to provide $100.0 million in insurance specie coverage for crypto assets held in cold storage for the years ended December 31, 2025 and 2024, respectively. The hot wallet insurance coverage protects, subject to policy terms, against theft from a security breach, a fraudulent transfer, or employee theft. Should any losses not be covered by insurance, the Company may be required to use our own crypto assets held in reserve, or to acquire additional crypto assets, in order to make customers whole in the event of a loss of assets on the platform.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Liquidity Risk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Liquidity risk is the risk that the Company will encounter difficulty in meeting obligations associated with its financial liabilities, including crypto assets. Liquidity could be impaired by an inability to access adequate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16840"/>
                <wp:effectExtent l="0" t="0" r="0" b="0"/>
                <wp:wrapNone/>
                <wp:docPr id="171" name="Frame1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sources of financing, access to crypto assets to cover customer obligations and by the inability to generate sufficient cash flow from operations. In the event the Company requires additional liquidity, there can be no guarantee the Company will be able to obtain such financing on reasonable terms or at all.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terms of the Company's user agreement, the structure of its crypto offerings, and applicable law, and after consultation with internal and external legal counsel, the Company believes that the cryptocurrency it holds in custody for users should be considered their property. Consequently, these assets should not be available to satisfy claims from the Company's general creditors in the unlikely event of bankruptcy. While the Company remains well-capitalized, users' concerns about the security of crypto assets in a platform bankruptcy may impact their willingness to hold cryptocurrencies in custodial accounts or their general interest in trading cryptocurrencies.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Bank Counterparty Risk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fiat banking relationships are concentrated in a limited number of financial institutions. Closure of any of these institutions could adversely impact the Company's business, operating results, and financial condition. The Company works with multiple banking partners to mitigate this risk but in the event of a banking counterparty's failure, the Company could experience interrupted service or financial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Crypto Assets Risks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operations are concentrated in relatively few crypto assets, primarily bitcoin and ether, and the Company is subject to related market, regulatory, and other risks. The vast majority of the Company’s revenues are earned from transaction fees on the trading of crypto assets. Investing in crypto assets is highly speculative and volatile. The price of crypto assets may be affected by global supply and demand, competition from other forms of cryptocurrency, or other independent factors. The process by which crypto asset transactions are settled is dependent on peer-to-peer networks and is subject to operational and market risk with regard to previously unknown technical vulnerabilities. Additionally, the volatility in crypto asset prices and limited history could influence the valuation of the Company’s and its customers’ crypto assets, potentially resulting in loss of value.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Crypto assets are controllable only by the possessor of a unique private cryptographic key controlling the address in which the crypto asset is held. The theft, loss or destruction of a private key required to access a crypto asset is irreversible, and such private keys would not be capable of being restored by the Company. The loss of private keys relating to digital wallets used to store crypto assets could result in the loss of the crypto assets and the Company and its customers could incur substantial, or even total, loss of capital. The Company must adapt to technological change in order to secure and safeguard client accounts. While the Company believes it has developed an appropriate proprietary security system reasonably designed to safeguard crypto assets from theft, loss, destruction or other issues relating to hackers and technological attack, such assessment is based upon known technology and threats.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Equity Investment Risks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holds strategic investments in privately held companies in the form of equity investments without readily determinable fair values in which it does not have a controlling interest or significant influence. The strategic investments are subject to a variety of market-related risks that could substantially reduce or increase the carrying value of the portfolio. The Company records changes to the fair value of these strategic investments in Other income (expense), net on the consolidated statements of operations and comprehensive loss. The strategic investments are evaluated regularly for impairment. If indicators of impairment exist and the estimated fair value of an investment is below the carrying value, the investment is written down to fair value and the impairment is recorded in Other income (expense), net on the consolidated statements of operations and comprehensive loss.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16840"/>
                <wp:effectExtent l="0" t="0" r="0" b="0"/>
                <wp:wrapNone/>
                <wp:docPr id="172" name="Frame1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Market Risk of Warrants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holds warrants in a publicly held company. The warrants are measured and recorded at fair value, and may be subject to a variety of market-related volatility that could impact the value of the assets. The Company records changes to the fair value of these warrants in Other income (expense), net on the consolidated statements of operations and comprehensive loss.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Market Risk of Derivatives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exposure to derivatives measured and recorded at fair value. Market risk on derivatives is the exposure created by potential fluctuations in market prices and other factors and is a function of the type of derivative product, the volume of transactions, the tenor and terms of the agreement, and the underlying volatility.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Segment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segments are defined as components of an entity for which separate financial information is available and that is regularly reviewed by the Chief Operating Decision Maker (the “CODM”) to allocate resources and assess performance. The Company’s Chief Executive Officer, President, Chief Financial Officer and Chief Operating Officer collectively function as the CODM and review operating results and financial performance on a consolidated basis. While the Company generates revenue from multiple products and customer types, management does not review discrete financial information by product or customer, and no measures of profitability at that level are prepared or used in resource allocation decisions. As a result, discrete segment financial information is not available for individual products or customer groups. Accordingly, the Company has determined that it operates as a single operating segment and a single reportable segment.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measure of profit or loss regularly reviewed by the CODM is consolidated net income (loss), which is used to make key operating decisions, allocate resources, and evaluate overall financial performance. In addition, the CODM regularly reviews total segment expenses and total segment assets on a consolidated basis. These measures are consistent with those presented in the Company’s consolidated statements of operations and comprehensive loss and consolidated balance sheets,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556"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December 2023, the FASB issued Accounting Standards Update 2023-08 (“ASU 2023-08”), </w:t>
      </w:r>
      <w:r>
        <w:rPr>
          <w:rFonts w:ascii="Times New Roman;serif" w:hAnsi="Times New Roman;serif"/>
          <w:b w:val="false"/>
          <w:i/>
          <w:color w:val="000000"/>
          <w:sz w:val="20"/>
        </w:rPr>
        <w:t>Intangibles—Goodwill and Other—Crypto Assets</w:t>
      </w:r>
      <w:r>
        <w:rPr>
          <w:color w:val="000000"/>
        </w:rPr>
        <w:t xml:space="preserve"> </w:t>
      </w:r>
      <w:r>
        <w:rPr>
          <w:rFonts w:ascii="Times New Roman;serif" w:hAnsi="Times New Roman;serif"/>
          <w:b w:val="false"/>
          <w:color w:val="000000"/>
          <w:sz w:val="20"/>
        </w:rPr>
        <w:t xml:space="preserve">(Subtopic 350-60), which provides an update to existing crypto asset guidance and permits an entity to measure crypto assets at fair value. In addition, this guidance also outlines enhanced fair value footnote disclosures required once it is adopted. As of January 1, 2023, the Company has adopted ASU 2023-08 and reflects crypto assets held at fair value on the financial statements and includes the required expanded disclosures in </w:t>
      </w:r>
      <w:r>
        <w:rPr>
          <w:rFonts w:ascii="Times New Roman;serif" w:hAnsi="Times New Roman;serif"/>
          <w:b w:val="false"/>
          <w:i/>
          <w:color w:val="000000"/>
          <w:sz w:val="20"/>
        </w:rPr>
        <w:t>Note 7. Crypto Assets Held</w:t>
      </w:r>
      <w:r>
        <w:rPr>
          <w:rFonts w:ascii="Times New Roman;serif" w:hAnsi="Times New Roman;serif"/>
          <w:b w:val="false"/>
          <w:color w:val="000000"/>
          <w:sz w:val="20"/>
        </w:rPr>
        <w:t>. The Company’s adoption of this guidance also resulted in a $149.4 million decrease in Accumulated deficit on the consolidated statements of changes in convertible preferred units and stockholder's equity, as a result of the cumulative-effect adjustment upon adoption for the year ended December 31, 2023.</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December 2023, the FASB issued Accounting Standards Update No. 2023-09,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(Topic 740): </w:t>
      </w:r>
      <w:r>
        <w:rPr>
          <w:rFonts w:ascii="Times New Roman;serif" w:hAnsi="Times New Roman;serif"/>
          <w:b w:val="false"/>
          <w:i/>
          <w:color w:val="000000"/>
          <w:sz w:val="20"/>
        </w:rPr>
        <w:t xml:space="preserve">Improvements to Income Tax Disclosures </w:t>
      </w:r>
      <w:r>
        <w:rPr>
          <w:rFonts w:ascii="Times New Roman;serif" w:hAnsi="Times New Roman;serif"/>
          <w:b w:val="false"/>
          <w:color w:val="000000"/>
          <w:sz w:val="20"/>
        </w:rPr>
        <w:t xml:space="preserve">(“ASU 2023-09”). ASU 2023-09 requires that entities disclose (i) the income tax rate reconciliation using both percentages and reporting currency amounts; (ii) specific categories within the income tax rate reconciliation; (iii) additional information for reconciling items that meet a quantitative threshold; (iv) the composition of state and local income taxes by jurisdiction; and (v) the amount of income taxes paid disaggregated by jurisdiction. The guidance is effective for annual periods beginning after December 15,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16840"/>
                <wp:effectExtent l="0" t="0" r="0" b="0"/>
                <wp:wrapNone/>
                <wp:docPr id="173" name="Frame1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pPr>
      <w:r>
        <w:rPr>
          <w:rFonts w:ascii="Times New Roman;serif" w:hAnsi="Times New Roman;serif"/>
          <w:b w:val="false"/>
          <w:color w:val="000000"/>
          <w:sz w:val="20"/>
        </w:rPr>
        <w:t xml:space="preserve">The Company adopted ASU 2023-09 for the year ended December 31, 2025 on a prospective basis. See </w:t>
      </w:r>
      <w:r>
        <w:rPr>
          <w:rFonts w:ascii="Times New Roman;serif" w:hAnsi="Times New Roman;serif"/>
          <w:b w:val="false"/>
          <w:i/>
          <w:color w:val="000000"/>
          <w:sz w:val="20"/>
        </w:rPr>
        <w:t>Note 19. Income Taxes</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Accounting pronouncements pending adoption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November 2024, the FASB issued Accounting Standards Update No. 2024-03, </w:t>
      </w:r>
      <w:r>
        <w:rPr>
          <w:rFonts w:ascii="Times New Roman;serif" w:hAnsi="Times New Roman;serif"/>
          <w:b w:val="false"/>
          <w:i/>
          <w:color w:val="000000"/>
          <w:sz w:val="20"/>
        </w:rPr>
        <w:t>Final Standard on Disaggregation of Income Statement Expenses</w:t>
      </w:r>
      <w:r>
        <w:rPr>
          <w:color w:val="000000"/>
        </w:rPr>
        <w:t xml:space="preserve"> </w:t>
      </w:r>
      <w:r>
        <w:rPr>
          <w:rFonts w:ascii="Times New Roman;serif" w:hAnsi="Times New Roman;serif"/>
          <w:b w:val="false"/>
          <w:color w:val="000000"/>
          <w:sz w:val="20"/>
        </w:rPr>
        <w:t xml:space="preserve">(“ASU 2024-03”). The new guidance requires disaggregated disclosure of income statement expenses for public business entities (PBEs). The amendments in ASU 2024-03 are required to be adopted for fiscal years beginning after December 15, 2026, and interim periods within fiscal years beginning after December 15, 2027. The Company is currently evaluating the impact of adopting the standard.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July 2025, the FASB issued Accounting Standards Update No. 2025-05, </w:t>
      </w:r>
      <w:r>
        <w:rPr>
          <w:rFonts w:ascii="Times New Roman;serif" w:hAnsi="Times New Roman;serif"/>
          <w:b w:val="false"/>
          <w:i/>
          <w:color w:val="000000"/>
          <w:sz w:val="20"/>
        </w:rPr>
        <w:t>Financial Instruments — Credit Losses</w:t>
      </w:r>
      <w:r>
        <w:rPr>
          <w:color w:val="000000"/>
        </w:rPr>
        <w:t xml:space="preserve"> </w:t>
      </w:r>
      <w:r>
        <w:rPr>
          <w:rFonts w:ascii="Times New Roman;serif" w:hAnsi="Times New Roman;serif"/>
          <w:b w:val="false"/>
          <w:color w:val="000000"/>
          <w:sz w:val="20"/>
        </w:rPr>
        <w:t xml:space="preserve">(Topic 326): </w:t>
      </w:r>
      <w:r>
        <w:rPr>
          <w:rFonts w:ascii="Times New Roman;serif" w:hAnsi="Times New Roman;serif"/>
          <w:b w:val="false"/>
          <w:i/>
          <w:color w:val="000000"/>
          <w:sz w:val="20"/>
        </w:rPr>
        <w:t xml:space="preserve">Measurement of Credit Losses for Accounts Receivable and Contract Assets </w:t>
      </w:r>
      <w:r>
        <w:rPr>
          <w:rFonts w:ascii="Times New Roman;serif" w:hAnsi="Times New Roman;serif"/>
          <w:b w:val="false"/>
          <w:color w:val="000000"/>
          <w:sz w:val="20"/>
        </w:rPr>
        <w:t>(“ASU 2025-05”). The new guidance permits entities to apply a practical expedient to estimate expected credit losses on accounts receivable and contract assets, which may reduce the complexity of applying forward-looking information in certain circumstances. The new standard is effective for fiscal years beginning after December 15, 2025, and interim periods within those annual reporting periods, with early adoption permitted. The Company does not expect the adoption of ASU 2025-05 to have a material impact on its consolidated financial statements.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September 2025, the FASB issued Accounting Standards Update No. 2025-06, </w:t>
      </w:r>
      <w:r>
        <w:rPr>
          <w:rFonts w:ascii="Times New Roman;serif" w:hAnsi="Times New Roman;serif"/>
          <w:b w:val="false"/>
          <w:i/>
          <w:color w:val="000000"/>
          <w:sz w:val="20"/>
        </w:rPr>
        <w:t>Intangibles—Goodwill and Other—Internal-Use Software</w:t>
      </w:r>
      <w:r>
        <w:rPr>
          <w:color w:val="000000"/>
        </w:rPr>
        <w:t xml:space="preserve"> </w:t>
      </w:r>
      <w:r>
        <w:rPr>
          <w:rFonts w:ascii="Times New Roman;serif" w:hAnsi="Times New Roman;serif"/>
          <w:b w:val="false"/>
          <w:color w:val="000000"/>
          <w:sz w:val="20"/>
        </w:rPr>
        <w:t xml:space="preserve">(Subtopic 350-40): </w:t>
      </w:r>
      <w:r>
        <w:rPr>
          <w:rFonts w:ascii="Times New Roman;serif" w:hAnsi="Times New Roman;serif"/>
          <w:b w:val="false"/>
          <w:i/>
          <w:color w:val="000000"/>
          <w:sz w:val="20"/>
        </w:rPr>
        <w:t xml:space="preserve">Targeted Improvements to the Accounting for Internal-Use Software </w:t>
      </w:r>
      <w:r>
        <w:rPr>
          <w:rFonts w:ascii="Times New Roman;serif" w:hAnsi="Times New Roman;serif"/>
          <w:b w:val="false"/>
          <w:color w:val="000000"/>
          <w:sz w:val="20"/>
        </w:rPr>
        <w:t>(“ASU 2025-06”)</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ASU 2025-06 eliminates the old project-stage model for capitalizing internal-use software costs and instead requires capitalization only when management has authorized and committed funding and it is probable the project will be completed and used for its intended purpose. Costs are expensed when significant development uncertainty exists. The new standard is effective for fiscal years beginning after December 15, 2027, and interim periods within those annual reporting periods, with early adoption permitted. The Company anticipates using a prospective transition approach and is currently evaluating the impact of adopting the standard.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September 2025, the FASB issued Accounting Standards Update No. 2025-07, </w:t>
      </w:r>
      <w:r>
        <w:rPr>
          <w:rFonts w:ascii="Times New Roman;serif" w:hAnsi="Times New Roman;serif"/>
          <w:b w:val="false"/>
          <w:i/>
          <w:color w:val="000000"/>
          <w:sz w:val="20"/>
        </w:rPr>
        <w:t xml:space="preserve">Derivatives and Hedging </w:t>
      </w:r>
      <w:r>
        <w:rPr>
          <w:rFonts w:ascii="Times New Roman;serif" w:hAnsi="Times New Roman;serif"/>
          <w:b w:val="false"/>
          <w:color w:val="000000"/>
          <w:sz w:val="20"/>
        </w:rPr>
        <w:t>(Topic 815)</w:t>
      </w:r>
      <w:r>
        <w:rPr>
          <w:color w:val="000000"/>
        </w:rPr>
        <w:t xml:space="preserve"> </w:t>
      </w:r>
      <w:r>
        <w:rPr>
          <w:rFonts w:ascii="Times New Roman;serif" w:hAnsi="Times New Roman;serif"/>
          <w:b w:val="false"/>
          <w:i/>
          <w:color w:val="000000"/>
          <w:sz w:val="20"/>
        </w:rPr>
        <w:t xml:space="preserve">and Revenue from Contracts with Customers </w:t>
      </w:r>
      <w:r>
        <w:rPr>
          <w:rFonts w:ascii="Times New Roman;serif" w:hAnsi="Times New Roman;serif"/>
          <w:b w:val="false"/>
          <w:color w:val="000000"/>
          <w:sz w:val="20"/>
        </w:rPr>
        <w:t>(Topic 606):</w:t>
      </w:r>
      <w:r>
        <w:rPr>
          <w:color w:val="000000"/>
        </w:rPr>
        <w:t xml:space="preserve"> </w:t>
      </w:r>
      <w:r>
        <w:rPr>
          <w:rFonts w:ascii="Times New Roman;serif" w:hAnsi="Times New Roman;serif"/>
          <w:b w:val="false"/>
          <w:i/>
          <w:color w:val="000000"/>
          <w:sz w:val="20"/>
        </w:rPr>
        <w:t xml:space="preserve">Derivatives Scope Refinements and Scope Clarification for Share-Based Noncash Consideration from a Customer in a Revenue Contract </w:t>
      </w:r>
      <w:r>
        <w:rPr>
          <w:rFonts w:ascii="Times New Roman;serif" w:hAnsi="Times New Roman;serif"/>
          <w:b w:val="false"/>
          <w:color w:val="000000"/>
          <w:sz w:val="20"/>
        </w:rPr>
        <w:t>(“ASU 2025-07”)</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ASU 2025-07 refines the scope of derivative accounting under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 xml:space="preserve">(Topic 815) by narrowing when contracts with features based on a party’s operations or activities qualify as derivatives, and clarifies that share-based noncash consideration from a customer in a revenue contract is accounted under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 xml:space="preserve">(Topic 606) rather than as a derivative. The new standard is effective for fiscal years beginning after December 15, 2026, and interim periods within those annual reporting periods, with early adoption permitted. The Company is currently evaluating the impact of adopting the standard.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Revenue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determines revenue recognition from contracts with customers in accordance with Financial Accounting Standards Board (“FASB”) Accounting Standards Codification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 through the following steps:</w:t>
      </w:r>
    </w:p>
    <w:p>
      <w:pPr>
        <w:pStyle w:val="TextBody"/>
        <w:bidi w:val="0"/>
        <w:spacing w:before="0" w:after="0"/>
        <w:jc w:val="both"/>
        <w:rPr/>
      </w:pPr>
      <w:r>
        <w:rPr/>
      </w:r>
    </w:p>
    <w:p>
      <w:pPr>
        <w:pStyle w:val="TextBody"/>
        <w:bidi w:val="0"/>
        <w:spacing w:lineRule="auto" w:line="417" w:before="0" w:after="0"/>
        <w:ind w:left="0" w:right="0" w:hanging="340"/>
        <w:jc w:val="both"/>
        <w:rPr/>
      </w:pPr>
      <w:r>
        <w:rPr>
          <w:color w:val="000000"/>
        </w:rPr>
        <w:t>•</w:t>
      </w:r>
      <w:r>
        <w:rPr>
          <w:rFonts w:ascii="Times New Roman;serif" w:hAnsi="Times New Roman;serif"/>
          <w:b w:val="false"/>
          <w:color w:val="000000"/>
          <w:sz w:val="20"/>
        </w:rPr>
        <w:t>identification of the contract, or contracts, with the customer;</w:t>
      </w:r>
    </w:p>
    <w:p>
      <w:pPr>
        <w:pStyle w:val="TextBody"/>
        <w:bidi w:val="0"/>
        <w:spacing w:lineRule="auto" w:line="417" w:before="0" w:after="0"/>
        <w:ind w:left="0" w:right="0" w:hanging="340"/>
        <w:jc w:val="both"/>
        <w:rPr/>
      </w:pPr>
      <w:r>
        <w:rPr>
          <w:color w:val="000000"/>
        </w:rPr>
        <w:t>•</w:t>
      </w:r>
      <w:r>
        <w:rPr>
          <w:rFonts w:ascii="Times New Roman;serif" w:hAnsi="Times New Roman;serif"/>
          <w:b w:val="false"/>
          <w:color w:val="000000"/>
          <w:sz w:val="20"/>
        </w:rPr>
        <w:t>identification of the performance obligations in the contract;</w:t>
      </w:r>
    </w:p>
    <w:p>
      <w:pPr>
        <w:pStyle w:val="TextBody"/>
        <w:bidi w:val="0"/>
        <w:spacing w:lineRule="auto" w:line="417" w:before="0" w:after="0"/>
        <w:ind w:left="0" w:right="0" w:hanging="340"/>
        <w:jc w:val="both"/>
        <w:rPr/>
      </w:pPr>
      <w:r>
        <w:rPr>
          <w:color w:val="000000"/>
        </w:rPr>
        <w:t>•</w:t>
      </w:r>
      <w:r>
        <w:rPr>
          <w:rFonts w:ascii="Times New Roman;serif" w:hAnsi="Times New Roman;serif"/>
          <w:b w:val="false"/>
          <w:color w:val="000000"/>
          <w:sz w:val="20"/>
        </w:rPr>
        <w:t>determination of the transaction price;</w:t>
      </w:r>
    </w:p>
    <w:p>
      <w:pPr>
        <w:pStyle w:val="TextBody"/>
        <w:bidi w:val="0"/>
        <w:spacing w:lineRule="auto" w:line="417" w:before="0" w:after="0"/>
        <w:ind w:left="0" w:right="0" w:hanging="340"/>
        <w:jc w:val="both"/>
        <w:rPr/>
      </w:pPr>
      <w:r>
        <w:rPr>
          <w:color w:val="000000"/>
        </w:rPr>
        <w:t>•</w:t>
      </w:r>
      <w:r>
        <w:rPr>
          <w:rFonts w:ascii="Times New Roman;serif" w:hAnsi="Times New Roman;serif"/>
          <w:b w:val="false"/>
          <w:color w:val="000000"/>
          <w:sz w:val="20"/>
        </w:rPr>
        <w:t>allocation of the transaction price to the performance obligations in the contract;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16840"/>
                <wp:effectExtent l="0" t="0" r="0" b="0"/>
                <wp:wrapNone/>
                <wp:docPr id="174" name="Frame1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417" w:before="0" w:after="0"/>
        <w:ind w:left="0" w:right="0" w:hanging="340"/>
        <w:jc w:val="both"/>
        <w:rPr/>
      </w:pPr>
      <w:r>
        <w:rPr>
          <w:color w:val="000000"/>
        </w:rPr>
        <w:t>•</w:t>
      </w:r>
      <w:r>
        <w:rPr>
          <w:rFonts w:ascii="Times New Roman;serif" w:hAnsi="Times New Roman;serif"/>
          <w:b w:val="false"/>
          <w:color w:val="000000"/>
          <w:sz w:val="20"/>
        </w:rPr>
        <w:t>recognition of the revenue when, or as, the Company satisfies the performance obligation.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is recognized when control of the promised goods or services is transferred to the customers in an amount that reflects the consideration the Company expects to be entitled to in exchange for those goods or services. The majority of revenue generated by the Company is through transaction fees charged on the Company's exchange platform.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revenue of the Company disaggregated by revenue source and ASC 606 applicability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43"/>
        <w:gridCol w:w="1532"/>
        <w:gridCol w:w="1515"/>
        <w:gridCol w:w="200"/>
        <w:gridCol w:w="200"/>
        <w:gridCol w:w="200"/>
        <w:gridCol w:w="200"/>
        <w:gridCol w:w="361"/>
        <w:gridCol w:w="1356"/>
        <w:gridCol w:w="200"/>
        <w:gridCol w:w="109"/>
        <w:gridCol w:w="109"/>
        <w:gridCol w:w="109"/>
        <w:gridCol w:w="196"/>
        <w:gridCol w:w="736"/>
        <w:gridCol w:w="109"/>
        <w:gridCol w:w="109"/>
        <w:gridCol w:w="109"/>
        <w:gridCol w:w="109"/>
        <w:gridCol w:w="196"/>
        <w:gridCol w:w="646"/>
        <w:gridCol w:w="161"/>
      </w:tblGrid>
      <w:tr>
        <w:trPr/>
        <w:tc>
          <w:tcPr>
            <w:tcW w:w="1743"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8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330" w:type="dxa"/>
            <w:gridSpan w:val="6"/>
            <w:tcBorders/>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revenue</w:t>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w:t>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93,426 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OTC</w:t>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transaction revenue</w:t>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transaction revenue</w:t>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98,020 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60,512 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revenue</w:t>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revenue</w:t>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33,120 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Staking revenue</w:t>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16,774 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Custodial fee revenue</w:t>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8,739 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Advisory fee revenue</w:t>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services revenue</w:t>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services revenue</w:t>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64,639 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10,735 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 from contracts with customers</w:t>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162,659 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71,247 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revenue</w:t>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Revenue not from contracts with customers</w:t>
            </w:r>
            <w:r>
              <w:rPr>
                <w:rFonts w:ascii="Times New Roman;serif" w:hAnsi="Times New Roman;serif"/>
                <w:b w:val="false"/>
                <w:color w:val="000000"/>
                <w:sz w:val="12"/>
              </w:rPr>
              <w:t>(1)</w:t>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interest</w:t>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not from contracts with customers</w:t>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16,538 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26,568 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179,572 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98,137 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10"/>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Amounts represent revenue that is not accounted for as revenue from contracts with customers, as defined in ASC 606. Interest income is included within Net revenue and corporate interest is included within Other revenue, respectively, on the consolidated statements of operations and comprehensive loss.</w:t>
            </w:r>
          </w:p>
        </w:tc>
        <w:tc>
          <w:tcPr>
            <w:tcW w:w="2698"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Transaction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Transaction revenue represents transaction fees earned from retail and institutional customers, including wealth and asset managers, public and private companies, and other entities designated as investment vehicles.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performance obligation is to provide a crypto asset matching service that enables customers to buy, sell, or trade crypto assets on the Company's platform. This performance obligation is satisfied at a point in time, when a transaction is executed and processed, at which time the Company recognizes revenues.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16840"/>
                <wp:effectExtent l="0" t="0" r="0" b="0"/>
                <wp:wrapNone/>
                <wp:docPr id="175" name="Frame1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Contracts with customers are generally open-ended and cancellable by either party without penalty prior to execution. Accordingly, contracts are defined at the transaction level and do not extend beyond the service already provided.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fees are generally calculated as a percentage of the transaction value and vary based on factors, such as transaction size and the customer's trading volume processed over the previous thirty-day period. The Company has concluded that its volume-based pricing approach does not constitute a future material right as the discount is within a range typically offered to a group of customers with similar volume. Certain instant orders also incur a convenience fee, which is calculated at a rate around 100 basis points above the prevailing market price. In certain instances, the transaction fee can be collected in crypto assets, primarily bitcoin and ether, with revenue measured based on the fair value of the underlying crypto assets at the time the transaction is executed, which represents the point of contract inception.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Transaction revenue also includes commission-based revenue earned from over-the-counter (“OTC”) trading services. Through its OTC trading desk the Company facilitates crypto asset transactions for certain institutions and high-net worth individuals who wish to trade outside of the exchange. Revenue from OTC transactions is recognized at the time the trade is executed, based on the agreed-upon commission.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transaction revenue primarily includes revenue earned from customer's using the Company's legacy Nifty Gateway platform. The Company’s service as it relates to Nifty Gateway consisted of a single performance obligation to provide a non-fungible token (“NFT”) matching service when customers bought or sold NFTs on the platform. The Company generally earned fees equal to approximately 20% of the proceeds from primary market NFT sales and approximately 5% of the proceeds from secondary market NFT sales. Revenue from Nifty Gateway was not material for the year ended December 31, 2025. In January 2026, the Company discontinued the Nifty Gateway marketplace and does not expect to generate revenue from this activity in future periods.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recording Transaction revenue, the Company evaluates whether it is the principal or the agent in transactions between customers and, based on that determination, evaluates whether the presentation of revenue should be on a gross or net basis. This evaluation is based on whether the Company controls the crypto or NFT assets before they are transferred to customers (gross) or whether the Company acts as an agent by providing a matching service for customers on the platform to provide the crypto or NFT assets to other customers (net). The Company does not control the crypto or NFT asset before it is transferred to the buyer, does not have inventory risk related to the crypto or NFT asset, and is not responsible for the fulfillment of the crypto or NFT asset. The Company also does not set the price for the crypto asset as the price is established by market rates. As a result, the Company acts as an agent in facilitating its customers’ ability to purchase crypto or NFT assets from another customer and revenue for the fees earned on a net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Credit card revenue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offers a credit card product that provides customers with access to an electronic form of payment through a multi-rail payment network supported by Mastercard. Crypto asset rewards are issued to customers after each credit card purchase is executed.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Gemini Credit Card program generates interest, fees and interchange income related to credit card activity. The Company earns interest and fees for all credit card receivables that it purchases from the Issuing Bank and holds on its consolidated balance sheets. In addition, the Company earns interchange revenue for each credit card transaction, net of revenue-sharing agreements with the Issuing Bank.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evaluated the credit card arrangement in accordance with ASC 606, and determined that it acts as an agent on behalf of the Issuing Bank with respect to credit card transaction processing. Accordingly, the Company recognizes net credit card revenue, reflecting its share of interest, fees, and interchange revenue net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16840"/>
                <wp:effectExtent l="0" t="0" r="0" b="0"/>
                <wp:wrapNone/>
                <wp:docPr id="176" name="Frame1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remitted to the Issuing Bank and other bank settlement fees, within Net revenue on the consolidated statements of operations and comprehensive loss.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Staking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offers customers a feature allowing transfers of specific assets for staking and, as a result, the opportunity to receive staking rewards from the associated blockchain network. The Company acts as a facilitator introducing customers to the staking pool. In exchange for these staking services, the Company earns a fee from the customer that is calculated based on the amount of crypto assets the customer earns through staking. Staking fees are collected in crypto assets by the Company with the type of asset received dependent on the underlying blockchain network, Ether, Solana, or Polygon. Staking revenue is measured based on the fair value of the underlying crypto assets at the time the staking awards are earned, which represents the point of contract inception.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Ether staking, the Company provides staking services using staking validators that it operates and controls on its own platform. The Company has determined it is the principal in Ether staking transactions, as it controls the staking service and is primarily responsible for fulfilling the performance obligation to the customers. Accordingly, staking revenue related to Ether is recognized on a gross basis, representing the total staking rewards earned. Amounts paid or credited to customers in connection with Ether staking are recorded within Transaction processing on the consolidated statements of operations and comprehensive loss.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Solana and Polygon staking, the Company uses a third-party staking validator. The Company has determined that it acts as the agent in these arrangements, as it does not control the staking services provided by the validator, is not responsible for fulfilling the staking performance obligation, and does not determine of the staking rewards generated by the pool. Accordingly, staking revenue related to Solana and Polygon is recognized on a net basis, representing the Company's fee retained after amounts attributable to customers and third-party validators. The Polygon staking service was discontinued by the Company in June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Custodial fee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customers with a proprietary cold storage custody solution that enables the secure, offline storage of crypto assets. In exchange for these custody services, the Company earns a custody fee calculated as a contractual percentage of the daily value of assets under custody, which accrues on a daily basis. Custody services represent a single performance obligation that is satisfied over time, as customers simultaneously receive and consume the benefits of the services as they are provided. Custody agreements may be terminated by customers at any time without penalty. Accordingly, custody revenue is recognized over the period the services are provided, based on the daily value of assets under custody.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certain instances, custody fees can be collected in crypto assets, primarily bitcoin and ether, and revenue is measured based on the fair value of the underlying crypto assets at the time of the transaction. Any applicable blockchain network transaction fees are borne by the customer.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Advisory fee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received stock warrants from Empery as non-cash consideration for providing asset management and crypto custody services. These warrants provide the Company with the right to purchase Empery common shares and vest in stages based on the achievement of specified stock price performance conditions. Advisory fee revenue related to the warrants is recognized over the one-year service period, based on the grant-date fair value of the warrants, and is included in Net revenue in the consolidated statements of operations and comprehensive loss.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16840"/>
                <wp:effectExtent l="0" t="0" r="0" b="0"/>
                <wp:wrapNone/>
                <wp:docPr id="177" name="Frame1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556"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income and corporate interest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Customer custodial funds, cash and cash equivalents, and restricted cash and cash equivalents are held at third-party banks and earn interest. Interest income is calculated using the interest method and is not within the scope of ASC 606. Interest earned on customer custodial funds is included in interest income within Services revenue on the consolidated statements of operations and comprehensive loss. Interest earned on cash and cash equivalents and restricted cash and cash equivalents is included in corporate interest within Other revenue on the consolidated statements of operations and comprehensive loss.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 by geographic location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    The following table presents revenue of the Company disaggregated by geography based on domiciles of the customer or other counterparty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89"/>
        <w:gridCol w:w="1311"/>
        <w:gridCol w:w="1330"/>
        <w:gridCol w:w="249"/>
        <w:gridCol w:w="249"/>
        <w:gridCol w:w="249"/>
        <w:gridCol w:w="249"/>
        <w:gridCol w:w="448"/>
        <w:gridCol w:w="1686"/>
        <w:gridCol w:w="249"/>
        <w:gridCol w:w="109"/>
        <w:gridCol w:w="109"/>
        <w:gridCol w:w="109"/>
        <w:gridCol w:w="196"/>
        <w:gridCol w:w="736"/>
        <w:gridCol w:w="109"/>
        <w:gridCol w:w="109"/>
        <w:gridCol w:w="109"/>
        <w:gridCol w:w="109"/>
        <w:gridCol w:w="196"/>
        <w:gridCol w:w="646"/>
        <w:gridCol w:w="159"/>
      </w:tblGrid>
      <w:tr>
        <w:trPr/>
        <w:tc>
          <w:tcPr>
            <w:tcW w:w="148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249" w:type="dxa"/>
            <w:gridSpan w:val="1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328" w:type="dxa"/>
            <w:gridSpan w:val="6"/>
            <w:tcBorders/>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155,663 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82,261 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International</w:t>
            </w:r>
            <w:r>
              <w:rPr>
                <w:rFonts w:ascii="Times New Roman;serif" w:hAnsi="Times New Roman;serif"/>
                <w:b w:val="false"/>
                <w:color w:val="000000"/>
                <w:sz w:val="12"/>
              </w:rPr>
              <w:t>(1)</w:t>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revenue</w:t>
            </w:r>
            <w:r>
              <w:rPr>
                <w:rFonts w:ascii="Times New Roman;serif" w:hAnsi="Times New Roman;serif"/>
                <w:b w:val="false"/>
                <w:color w:val="000000"/>
                <w:sz w:val="12"/>
              </w:rPr>
              <w:t>(2)</w:t>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179,572 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98,137 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10"/>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 No country, outside the U.S., accounted for more than 10% of Total revenue.</w:t>
            </w:r>
          </w:p>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(2) Total revenue includes $16.5 million, $12.7 million, and $26.6 million for the years ended December 31, 2025, 2024 and 2023, respectively, that is not recognized within the scope of ASC 606 as outlined above.</w:t>
            </w:r>
          </w:p>
        </w:tc>
        <w:tc>
          <w:tcPr>
            <w:tcW w:w="2696"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4.</w:t>
      </w:r>
      <w:r>
        <w:rPr>
          <w:color w:val="000000"/>
        </w:rPr>
        <w:t xml:space="preserve"> </w:t>
      </w:r>
      <w:r>
        <w:rPr>
          <w:rFonts w:ascii="Times New Roman;serif" w:hAnsi="Times New Roman;serif"/>
          <w:b/>
          <w:color w:val="000000"/>
          <w:sz w:val="20"/>
        </w:rPr>
        <w:t>Accounts Receivable, Net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Accounts receivable, net of allowance consisted of the following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065"/>
        <w:gridCol w:w="1815"/>
        <w:gridCol w:w="1828"/>
        <w:gridCol w:w="387"/>
        <w:gridCol w:w="1277"/>
        <w:gridCol w:w="215"/>
        <w:gridCol w:w="215"/>
        <w:gridCol w:w="215"/>
        <w:gridCol w:w="215"/>
        <w:gridCol w:w="387"/>
        <w:gridCol w:w="1277"/>
        <w:gridCol w:w="309"/>
      </w:tblGrid>
      <w:tr>
        <w:trPr/>
        <w:tc>
          <w:tcPr>
            <w:tcW w:w="2065"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5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5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708"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57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Credit card receivables</w:t>
            </w:r>
            <w:r>
              <w:rPr>
                <w:rFonts w:ascii="Times New Roman;serif" w:hAnsi="Times New Roman;serif"/>
                <w:b w:val="false"/>
                <w:color w:val="000000"/>
                <w:sz w:val="12"/>
              </w:rPr>
              <w:t>(1)(2)</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31,047 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65,821 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Retail receivables</w:t>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9,682 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4,402 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Custodial fees receivable</w:t>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1,608 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Staking fees receivable</w:t>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936 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fees receivable</w:t>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2,869 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transaction losses</w:t>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(16,307)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(10,268)</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 accounts receivable, net of allowance</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30,887 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65,368 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c>
        <w:tc>
          <w:tcPr>
            <w:tcW w:w="18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 xml:space="preserve">(1) Credit card receivables includes $0 and $1.8 million of in-transit receivables as of December 31, 2025 and 2024, respectively. In-transit balances represent timing differences related to unsettled customer spending and payments. </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Includes $0.7 million and $0.3 million of accrued interest receivable, net as of December 31, 2025 and 2024, respectively.</w:t>
            </w:r>
          </w:p>
        </w:tc>
      </w:tr>
    </w:tbl>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Credit card receivables include both pledged and unpledged receivables. Credit card receivables pledged as collateral under the Company’s warehouse credit agreement are presented separately as Credit card receivables pledged, net on the consolidated balance sheets.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Allowance for transaction losses consisted of the following for the years ended December 31, 2025, 2024 and 2023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16840"/>
                <wp:effectExtent l="0" t="0" r="0" b="0"/>
                <wp:wrapNone/>
                <wp:docPr id="178" name="Frame1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168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10205" w:type="dxa"/>
        <w:jc w:val="left"/>
        <w:tblInd w:w="0" w:type="dxa"/>
        <w:tblLayout w:type="fixed"/>
        <w:tblCellMar>
          <w:top w:w="28" w:type="dxa"/>
          <w:left w:w="28" w:type="dxa"/>
          <w:bottom w:w="28" w:type="dxa"/>
          <w:right w:w="28" w:type="dxa"/>
        </w:tblCellMar>
      </w:tblPr>
      <w:tblGrid>
        <w:gridCol w:w="766"/>
        <w:gridCol w:w="655"/>
        <w:gridCol w:w="658"/>
        <w:gridCol w:w="256"/>
        <w:gridCol w:w="845"/>
        <w:gridCol w:w="142"/>
        <w:gridCol w:w="425"/>
        <w:gridCol w:w="885"/>
        <w:gridCol w:w="240"/>
        <w:gridCol w:w="400"/>
        <w:gridCol w:w="831"/>
        <w:gridCol w:w="226"/>
        <w:gridCol w:w="341"/>
        <w:gridCol w:w="972"/>
        <w:gridCol w:w="192"/>
        <w:gridCol w:w="311"/>
        <w:gridCol w:w="883"/>
        <w:gridCol w:w="172"/>
        <w:gridCol w:w="196"/>
        <w:gridCol w:w="646"/>
        <w:gridCol w:w="163"/>
      </w:tblGrid>
      <w:tr>
        <w:trPr/>
        <w:tc>
          <w:tcPr>
            <w:tcW w:w="76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Retail receivables</w:t>
            </w:r>
          </w:p>
        </w:tc>
        <w:tc>
          <w:tcPr>
            <w:tcW w:w="15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Custodial fees receivable</w:t>
            </w:r>
          </w:p>
        </w:tc>
        <w:tc>
          <w:tcPr>
            <w:tcW w:w="14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Staking fees receivable</w:t>
            </w:r>
          </w:p>
        </w:tc>
        <w:tc>
          <w:tcPr>
            <w:tcW w:w="15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Credit card receivables</w:t>
            </w:r>
          </w:p>
        </w:tc>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Other fees receivable</w:t>
            </w:r>
          </w:p>
        </w:tc>
        <w:tc>
          <w:tcPr>
            <w:tcW w:w="1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 at December 31, 2022</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17,197 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losses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13,204 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Write-offs</w:t>
            </w:r>
            <w:r>
              <w:rPr>
                <w:rFonts w:ascii="Times New Roman;serif" w:hAnsi="Times New Roman;serif"/>
                <w:b w:val="false"/>
                <w:color w:val="000000"/>
                <w:sz w:val="12"/>
              </w:rPr>
              <w:t>(1)</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(14,413)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(26,210)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Ending balance at December 31, 2023</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15,988 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4,251 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20,273 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losses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12,820 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Write-offs</w:t>
            </w:r>
            <w:r>
              <w:rPr>
                <w:rFonts w:ascii="Times New Roman;serif" w:hAnsi="Times New Roman;serif"/>
                <w:b w:val="false"/>
                <w:color w:val="000000"/>
                <w:sz w:val="12"/>
              </w:rPr>
              <w:t>(1)</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(16,935)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(10,508)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(29,920)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Ending balance at December 31, 2024</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6,563 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10,268 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losses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9,823 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21,341 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Write-offs</w:t>
            </w:r>
            <w:r>
              <w:rPr>
                <w:rFonts w:ascii="Times New Roman;serif" w:hAnsi="Times New Roman;serif"/>
                <w:b w:val="false"/>
                <w:color w:val="000000"/>
                <w:sz w:val="12"/>
              </w:rPr>
              <w:t>(1)</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(9,317)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(15,302)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Ending balance at December 31, 2025</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9,238 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7,069 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16,307 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Credit card receivable write-offs include $0.7 million, $0.1 million, and less than $0.1 million related to accrued interest receivable for the years ended December 31, 2025, 2024 and 2023, respectively.</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all accounts receivable, the Company evaluates collectability at each reporting date and writes off unsecured balances when they are outstanding for more than 180 days or when the balances are otherwise deemed to be uncollectible. The provision for transaction losses is recorded in Transaction losses on the consolidated statements of operations and comprehensive loss.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assessing credit quality of the credit card receivable portfolio, the Company considers delinquency status as a key indicator. As of December 31, 2025 and 2024, 96.9% and 89.2%, respectively, of the Company's receivables were current or less than 30 days past due.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16840"/>
                <wp:effectExtent l="0" t="0" r="0" b="0"/>
                <wp:wrapNone/>
                <wp:docPr id="179" name="Frame1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169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by level, within the fair value hierarchy, the Company’s assets and liabilities measured and recorded at fair value on a recurring basis (in thousands):</w:t>
      </w:r>
    </w:p>
    <w:p>
      <w:pPr>
        <w:pStyle w:val="TextBody"/>
        <w:bidi w:val="0"/>
        <w:spacing w:before="0" w:after="0"/>
        <w:jc w:val="both"/>
        <w:rPr/>
      </w:pPr>
      <w:r>
        <w:rPr/>
      </w:r>
    </w:p>
    <w:tbl>
      <w:tblPr>
        <w:tblW w:w="8709" w:type="dxa"/>
        <w:jc w:val="left"/>
        <w:tblInd w:w="0" w:type="dxa"/>
        <w:tblLayout w:type="fixed"/>
        <w:tblCellMar>
          <w:top w:w="28" w:type="dxa"/>
          <w:left w:w="28" w:type="dxa"/>
          <w:bottom w:w="28" w:type="dxa"/>
          <w:right w:w="28" w:type="dxa"/>
        </w:tblCellMar>
      </w:tblPr>
      <w:tblGrid>
        <w:gridCol w:w="1225"/>
        <w:gridCol w:w="1077"/>
        <w:gridCol w:w="1087"/>
        <w:gridCol w:w="214"/>
        <w:gridCol w:w="803"/>
        <w:gridCol w:w="119"/>
        <w:gridCol w:w="119"/>
        <w:gridCol w:w="119"/>
        <w:gridCol w:w="119"/>
        <w:gridCol w:w="214"/>
        <w:gridCol w:w="803"/>
        <w:gridCol w:w="119"/>
        <w:gridCol w:w="119"/>
        <w:gridCol w:w="119"/>
        <w:gridCol w:w="119"/>
        <w:gridCol w:w="214"/>
        <w:gridCol w:w="459"/>
        <w:gridCol w:w="119"/>
        <w:gridCol w:w="119"/>
        <w:gridCol w:w="119"/>
        <w:gridCol w:w="119"/>
        <w:gridCol w:w="214"/>
        <w:gridCol w:w="803"/>
        <w:gridCol w:w="168"/>
      </w:tblGrid>
      <w:tr>
        <w:trPr/>
        <w:tc>
          <w:tcPr>
            <w:tcW w:w="122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21,242 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equivalents:</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held:</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420,635 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420,635 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Ether</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crypto assets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Derivative assets</w:t>
            </w:r>
            <w:r>
              <w:rPr>
                <w:rFonts w:ascii="Times New Roman;serif" w:hAnsi="Times New Roman;serif"/>
                <w:b w:val="false"/>
                <w:color w:val="000000"/>
                <w:sz w:val="12"/>
              </w:rPr>
              <w:t>(1)</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 assets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462,895 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463,444 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loans:</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Derivative liabilities</w:t>
            </w:r>
            <w:r>
              <w:rPr>
                <w:color w:val="000000"/>
              </w:rPr>
              <w:t xml:space="preserve"> </w:t>
            </w:r>
            <w:r>
              <w:rPr>
                <w:rFonts w:ascii="Times New Roman;serif" w:hAnsi="Times New Roman;serif"/>
                <w:b w:val="false"/>
                <w:color w:val="000000"/>
                <w:sz w:val="12"/>
              </w:rPr>
              <w:t>(1)</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188,576 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188,576 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collateral payable</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futures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 liabilities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189,562 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189,562 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9"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Excludes the related host contracts which are not measured and recorded at fair value as of December 31, 2025 and are disclosed in the table below.</w:t>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16840"/>
                <wp:effectExtent l="0" t="0" r="0" b="0"/>
                <wp:wrapNone/>
                <wp:docPr id="180" name="Frame1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170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8702" w:type="dxa"/>
        <w:jc w:val="left"/>
        <w:tblInd w:w="0" w:type="dxa"/>
        <w:tblLayout w:type="fixed"/>
        <w:tblCellMar>
          <w:top w:w="28" w:type="dxa"/>
          <w:left w:w="28" w:type="dxa"/>
          <w:bottom w:w="28" w:type="dxa"/>
          <w:right w:w="28" w:type="dxa"/>
        </w:tblCellMar>
      </w:tblPr>
      <w:tblGrid>
        <w:gridCol w:w="1179"/>
        <w:gridCol w:w="1036"/>
        <w:gridCol w:w="1046"/>
        <w:gridCol w:w="205"/>
        <w:gridCol w:w="773"/>
        <w:gridCol w:w="114"/>
        <w:gridCol w:w="114"/>
        <w:gridCol w:w="114"/>
        <w:gridCol w:w="114"/>
        <w:gridCol w:w="205"/>
        <w:gridCol w:w="773"/>
        <w:gridCol w:w="114"/>
        <w:gridCol w:w="114"/>
        <w:gridCol w:w="114"/>
        <w:gridCol w:w="114"/>
        <w:gridCol w:w="205"/>
        <w:gridCol w:w="773"/>
        <w:gridCol w:w="114"/>
        <w:gridCol w:w="114"/>
        <w:gridCol w:w="114"/>
        <w:gridCol w:w="114"/>
        <w:gridCol w:w="205"/>
        <w:gridCol w:w="773"/>
        <w:gridCol w:w="161"/>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equivalents:</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261"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261"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held:</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412,115 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412,115 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Ether</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crypto assets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 crypto assets pledged:</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86,708 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86,708 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Ether</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Derivative assets</w:t>
            </w:r>
            <w:r>
              <w:rPr>
                <w:rFonts w:ascii="Times New Roman;serif" w:hAnsi="Times New Roman;serif"/>
                <w:b w:val="false"/>
                <w:color w:val="000000"/>
                <w:sz w:val="12"/>
              </w:rPr>
              <w:t>(1)</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collateral held</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431,503 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231,434 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662,937 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loans:</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Derivative liabilities</w:t>
            </w:r>
            <w:r>
              <w:rPr>
                <w:color w:val="000000"/>
              </w:rPr>
              <w:t xml:space="preserve"> </w:t>
            </w:r>
            <w:r>
              <w:rPr>
                <w:rFonts w:ascii="Times New Roman;serif" w:hAnsi="Times New Roman;serif"/>
                <w:b w:val="false"/>
                <w:color w:val="000000"/>
                <w:sz w:val="12"/>
              </w:rPr>
              <w:t>(1)</w:t>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413,700 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413,700 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convertible notes:</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248,783 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248,783 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collateral payable</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futures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436,595 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248,783 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685,378 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0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2"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Excludes the related host contracts which are not measured and recorded at fair value as of December 31, 2024 and are disclosed in the table below.</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2. Summary of Significant Accounting Policies</w:t>
      </w:r>
      <w:r>
        <w:rPr>
          <w:color w:val="000000"/>
        </w:rPr>
        <w:t xml:space="preserve"> </w:t>
      </w:r>
      <w:r>
        <w:rPr>
          <w:rFonts w:ascii="Times New Roman;serif" w:hAnsi="Times New Roman;serif"/>
          <w:b w:val="false"/>
          <w:color w:val="000000"/>
          <w:sz w:val="20"/>
        </w:rPr>
        <w:t>for further details on the valuation methods and significant inputs of the Level 2 and Level 3 assets and liabilities identified above.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made a transfer into level 3 of the fair value hierarchy. The Company's term loans were previously classified as Level 2 investments. However, during the year ended December 31, 2025, the 2024 Term Loan was amended to include a conversion option until January 23, 2025, which introduced significant unobservable inputs into the valuation. As a result, the 2024 Term Loan was classified as a Level 3 investment.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2024 and 2023, the Company did not make any transfers in or out of level 3 of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16840"/>
                <wp:effectExtent l="0" t="0" r="0" b="0"/>
                <wp:wrapNone/>
                <wp:docPr id="181" name="Frame1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171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is a roll-forward of Level 3 investments measured and recorded at fair value on a recurring basis (in thousands):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Level 3 Investments - Warrants</w:t>
      </w:r>
    </w:p>
    <w:tbl>
      <w:tblPr>
        <w:tblW w:w="7058" w:type="dxa"/>
        <w:jc w:val="left"/>
        <w:tblInd w:w="0" w:type="dxa"/>
        <w:tblLayout w:type="fixed"/>
        <w:tblCellMar>
          <w:top w:w="28" w:type="dxa"/>
          <w:left w:w="28" w:type="dxa"/>
          <w:bottom w:w="28" w:type="dxa"/>
          <w:right w:w="28" w:type="dxa"/>
        </w:tblCellMar>
      </w:tblPr>
      <w:tblGrid>
        <w:gridCol w:w="1318"/>
        <w:gridCol w:w="1161"/>
        <w:gridCol w:w="1166"/>
        <w:gridCol w:w="109"/>
        <w:gridCol w:w="109"/>
        <w:gridCol w:w="116"/>
        <w:gridCol w:w="116"/>
        <w:gridCol w:w="209"/>
        <w:gridCol w:w="449"/>
        <w:gridCol w:w="116"/>
        <w:gridCol w:w="116"/>
        <w:gridCol w:w="116"/>
        <w:gridCol w:w="116"/>
        <w:gridCol w:w="209"/>
        <w:gridCol w:w="433"/>
        <w:gridCol w:w="116"/>
        <w:gridCol w:w="109"/>
        <w:gridCol w:w="109"/>
        <w:gridCol w:w="109"/>
        <w:gridCol w:w="196"/>
        <w:gridCol w:w="406"/>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083" w:type="dxa"/>
            <w:gridSpan w:val="6"/>
            <w:tcBorders/>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attributable to change in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Level 3 Investments - Convertible Notes</w:t>
      </w:r>
    </w:p>
    <w:tbl>
      <w:tblPr>
        <w:tblW w:w="9597" w:type="dxa"/>
        <w:jc w:val="left"/>
        <w:tblInd w:w="0" w:type="dxa"/>
        <w:tblLayout w:type="fixed"/>
        <w:tblCellMar>
          <w:top w:w="28" w:type="dxa"/>
          <w:left w:w="28" w:type="dxa"/>
          <w:bottom w:w="28" w:type="dxa"/>
          <w:right w:w="28" w:type="dxa"/>
        </w:tblCellMar>
      </w:tblPr>
      <w:tblGrid>
        <w:gridCol w:w="1933"/>
        <w:gridCol w:w="1700"/>
        <w:gridCol w:w="170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933"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Beginning balance related party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OCI - Change in fair value attributable to instrument-specific credit risk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attributable to change in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convertible notes to common stock in connection with IPO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Ending balance related party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134,928 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br/>
      </w:r>
      <w:r>
        <w:rPr>
          <w:rFonts w:ascii="Times New Roman;serif" w:hAnsi="Times New Roman;serif"/>
          <w:b/>
          <w:i/>
          <w:color w:val="000000"/>
          <w:sz w:val="20"/>
        </w:rPr>
        <w:t>Level 3 Investments - Term Loans</w:t>
      </w:r>
    </w:p>
    <w:tbl>
      <w:tblPr>
        <w:tblW w:w="10205" w:type="dxa"/>
        <w:jc w:val="left"/>
        <w:tblInd w:w="0" w:type="dxa"/>
        <w:tblLayout w:type="fixed"/>
        <w:tblCellMar>
          <w:top w:w="28" w:type="dxa"/>
          <w:left w:w="28" w:type="dxa"/>
          <w:bottom w:w="28" w:type="dxa"/>
          <w:right w:w="28" w:type="dxa"/>
        </w:tblCellMar>
      </w:tblPr>
      <w:tblGrid>
        <w:gridCol w:w="2336"/>
        <w:gridCol w:w="2028"/>
        <w:gridCol w:w="2044"/>
        <w:gridCol w:w="123"/>
        <w:gridCol w:w="123"/>
        <w:gridCol w:w="123"/>
        <w:gridCol w:w="123"/>
        <w:gridCol w:w="221"/>
        <w:gridCol w:w="835"/>
        <w:gridCol w:w="123"/>
        <w:gridCol w:w="109"/>
        <w:gridCol w:w="109"/>
        <w:gridCol w:w="109"/>
        <w:gridCol w:w="196"/>
        <w:gridCol w:w="406"/>
        <w:gridCol w:w="109"/>
        <w:gridCol w:w="109"/>
        <w:gridCol w:w="109"/>
        <w:gridCol w:w="109"/>
        <w:gridCol w:w="196"/>
        <w:gridCol w:w="406"/>
        <w:gridCol w:w="159"/>
      </w:tblGrid>
      <w:tr>
        <w:trPr/>
        <w:tc>
          <w:tcPr>
            <w:tcW w:w="2336"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6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088" w:type="dxa"/>
            <w:gridSpan w:val="6"/>
            <w:tcBorders/>
          </w:tcPr>
          <w:p>
            <w:pPr>
              <w:pStyle w:val="TableContents"/>
              <w:bidi w:val="0"/>
              <w:spacing w:before="0" w:after="283"/>
              <w:jc w:val="left"/>
              <w:rPr>
                <w:sz w:val="4"/>
                <w:szCs w:val="4"/>
              </w:rPr>
            </w:pPr>
            <w:r>
              <w:rPr>
                <w:sz w:val="4"/>
                <w:szCs w:val="4"/>
              </w:rPr>
            </w:r>
          </w:p>
        </w:tc>
      </w:tr>
      <w:tr>
        <w:trPr/>
        <w:tc>
          <w:tcPr>
            <w:tcW w:w="6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2024</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2023</w:t>
            </w:r>
            <w:r>
              <w:rPr>
                <w:rFonts w:ascii="Times New Roman;serif" w:hAnsi="Times New Roman;serif"/>
                <w:b/>
                <w:color w:val="000000"/>
                <w:sz w:val="12"/>
              </w:rPr>
              <w:t>(1)</w:t>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 related party term loans</w:t>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237,209 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230,438 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r>
      <w:tr>
        <w:trPr/>
        <w:tc>
          <w:tcPr>
            <w:tcW w:w="6408"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r>
      <w:tr>
        <w:trPr/>
        <w:tc>
          <w:tcPr>
            <w:tcW w:w="6408"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OCI - Change in fair value attributable to instrument-specific credit risk</w:t>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attributable to change in fair value</w:t>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119,309 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related party term loans to common stock in connection with IPO</w:t>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(584,560)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 related party term loans</w:t>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26" w:type="dxa"/>
            <w:gridSpan w:val="12"/>
            <w:tcBorders/>
          </w:tcPr>
          <w:p>
            <w:pPr>
              <w:pStyle w:val="TableContents"/>
              <w:bidi w:val="0"/>
              <w:spacing w:before="0" w:after="283"/>
              <w:jc w:val="left"/>
              <w:rPr>
                <w:sz w:val="4"/>
                <w:szCs w:val="4"/>
              </w:rPr>
            </w:pPr>
            <w:r>
              <w:rPr>
                <w:sz w:val="4"/>
                <w:szCs w:val="4"/>
              </w:rPr>
            </w:r>
          </w:p>
        </w:tc>
      </w:tr>
      <w:tr>
        <w:trPr/>
        <w:tc>
          <w:tcPr>
            <w:tcW w:w="8079" w:type="dxa"/>
            <w:gridSpan w:val="1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 The 2024 Term Loan was not yet amended to include a conversion option until January 23, 2025 and was classified as a Level 2 investment.</w:t>
            </w:r>
          </w:p>
        </w:tc>
        <w:tc>
          <w:tcPr>
            <w:tcW w:w="2126"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IPO, the Company fair valued its convertible notes and convertible term loans utilizing a scenario-based approach that considered various conversion and repayment scenarios, along with a discounted cash flow analysis, which was used to determine the value of an investment today based on projections of future cash flows. The significant input utilized in the discounted cash flow analysis included the discount rate which ranged from 19.5% - 21.7% for the years ended December 31, 2025, 2024 and 2023.</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Convertible notes and related party term loans outstanding prior to the IPO converted to equity and are no longer included in Level 3 investments as of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Assets and liabilities measured and recorded at fair value on a non-recurring basis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non-financial assets and liabilities, such as intangible assets, software, property and equipment, and lease right-of-use assets, are adjusted to fair value on a non-recurring basis when an impairment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16840"/>
                <wp:effectExtent l="0" t="0" r="0" b="0"/>
                <wp:wrapNone/>
                <wp:docPr id="182" name="Frame1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172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charge is recognized. The fair value used in assessing an impairment for these assets are largely based on Level 2 or Level 3 inputs.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Company’s strategic investments are also measured at fair value on a non-recurring basis. Such fair value measurements are based predominantly on Level 3 inputs such as the recent transaction price involving the same or similar investment, and are adjusted as necessary to reflect relevant market conditions and investment-specific factors. Refer to </w:t>
      </w:r>
      <w:hyperlink w:anchor="i398e92ff5e2248149c5a58221ea5bce2_148">
        <w:r>
          <w:rPr>
            <w:rStyle w:val="InternetLink"/>
            <w:rFonts w:ascii="Times New Roman;serif" w:hAnsi="Times New Roman;serif"/>
            <w:b w:val="false"/>
            <w:i/>
            <w:strike w:val="false"/>
            <w:dstrike w:val="false"/>
            <w:color w:val="000000"/>
            <w:sz w:val="20"/>
            <w:u w:val="none"/>
            <w:effect w:val="none"/>
          </w:rPr>
          <w:t xml:space="preserve">Note </w:t>
        </w:r>
      </w:hyperlink>
      <w:r>
        <w:rPr>
          <w:rFonts w:ascii="Times New Roman;serif" w:hAnsi="Times New Roman;serif"/>
          <w:b w:val="false"/>
          <w:i/>
          <w:color w:val="000000"/>
          <w:sz w:val="20"/>
        </w:rPr>
        <w:t>8.</w:t>
      </w:r>
      <w:hyperlink w:anchor="i398e92ff5e2248149c5a58221ea5bce2_148">
        <w:r>
          <w:rPr>
            <w:rStyle w:val="InternetLink"/>
            <w:rFonts w:ascii="Times New Roman;serif" w:hAnsi="Times New Roman;serif"/>
            <w:b w:val="false"/>
            <w:i/>
            <w:strike w:val="false"/>
            <w:dstrike w:val="false"/>
            <w:color w:val="000000"/>
            <w:sz w:val="20"/>
            <w:u w:val="none"/>
            <w:effect w:val="none"/>
          </w:rPr>
          <w:t xml:space="preserve"> Prepaid Expenses and Other Assets</w:t>
        </w:r>
      </w:hyperlink>
      <w:r>
        <w:rPr>
          <w:color w:val="000000"/>
        </w:rPr>
        <w:t xml:space="preserve"> </w:t>
      </w:r>
      <w:r>
        <w:rPr>
          <w:rFonts w:ascii="Times New Roman;serif" w:hAnsi="Times New Roman;serif"/>
          <w:b w:val="false"/>
          <w:color w:val="000000"/>
          <w:sz w:val="20"/>
        </w:rPr>
        <w:t xml:space="preserve">for additional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Financial assets and liabilities not measured and recorded at fair value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estimated fair values of our financial assets and financial liabilities that are measured at amortized cost, and are not required to be carried at fair value on a recurring basis, as of December 31, 2025 and 2024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58"/>
        <w:gridCol w:w="1621"/>
        <w:gridCol w:w="1625"/>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55"/>
      </w:tblGrid>
      <w:tr>
        <w:trPr/>
        <w:tc>
          <w:tcPr>
            <w:tcW w:w="1858"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w:t>
            </w:r>
            <w:r>
              <w:rPr>
                <w:rFonts w:ascii="Times New Roman;serif" w:hAnsi="Times New Roman;serif"/>
                <w:b/>
                <w:color w:val="000000"/>
                <w:sz w:val="12"/>
              </w:rPr>
              <w:t>(1)</w:t>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assets for which carrying values equal or approximate fair value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252,215 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113,605 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custodial 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Accounts receivable, net</w:t>
            </w:r>
            <w:r>
              <w:rPr>
                <w:rFonts w:ascii="Times New Roman;serif" w:hAnsi="Times New Roman;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924,432 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Financial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liabilities for which carrying values equal or approximate fair value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Custodial funds due to customer</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Related party loans</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215,355 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Funding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154,374 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972,187 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(1) The total carrying value is equal to the total estimated fair value for all financial assets and liabilities.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Excludes the embedded derivatives which are measured and recorded at fair value as of December 31, 2025 and are disclosed in the table above.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16840"/>
                <wp:effectExtent l="0" t="0" r="0" b="0"/>
                <wp:wrapNone/>
                <wp:docPr id="183" name="Frame1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173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10205" w:type="dxa"/>
        <w:jc w:val="left"/>
        <w:tblInd w:w="0" w:type="dxa"/>
        <w:tblLayout w:type="fixed"/>
        <w:tblCellMar>
          <w:top w:w="28" w:type="dxa"/>
          <w:left w:w="28" w:type="dxa"/>
          <w:bottom w:w="28" w:type="dxa"/>
          <w:right w:w="28" w:type="dxa"/>
        </w:tblCellMar>
      </w:tblPr>
      <w:tblGrid>
        <w:gridCol w:w="1812"/>
        <w:gridCol w:w="1576"/>
        <w:gridCol w:w="1580"/>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871"/>
        <w:gridCol w:w="156"/>
      </w:tblGrid>
      <w:tr>
        <w:trPr/>
        <w:tc>
          <w:tcPr>
            <w:tcW w:w="181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w:t>
            </w:r>
            <w:r>
              <w:rPr>
                <w:rFonts w:ascii="Times New Roman;serif" w:hAnsi="Times New Roman;serif"/>
                <w:b/>
                <w:color w:val="000000"/>
                <w:sz w:val="12"/>
              </w:rPr>
              <w:t>(1)</w:t>
            </w:r>
          </w:p>
        </w:tc>
      </w:tr>
      <w:tr>
        <w:trPr/>
        <w:tc>
          <w:tcPr>
            <w:tcW w:w="4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assets for which carrying values equal or approximate fair value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custodial 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575,628 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Accounts receivable, net</w:t>
            </w:r>
            <w:r>
              <w:rPr>
                <w:rFonts w:ascii="Times New Roman;serif" w:hAnsi="Times New Roman;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651,053 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710,312 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Financial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liabilities for which carrying values equal or approximate fair value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Custodial funds due to customer</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574,080 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117,612 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Related party loans</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385,671 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503,283 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1,077,363 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(1) The total carrying value is equal to the total estimated fair value for all financial assets and liabilities.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Excludes the embedded derivatives which are measured and recorded at fair value as of December 31, 2024 and are disclosed in the table above.</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values of financial assets and liabilities equal or approximate fair value because they are short-term in duration, have no defined maturity or have a floating interest rate.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determined credit card receivables to be Level 3 assets. While credit card receivables are short term in duration, the Company estimates their fair value using the current expected loss model, which incorporates unobservable inputs. Accordingly, Level 3 classification is appropriate.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Derivatives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balance sheet impact of crypto asset options and futures not designated as hedges and measured at fair value as of December 31,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16"/>
        <w:gridCol w:w="978"/>
        <w:gridCol w:w="988"/>
        <w:gridCol w:w="602"/>
        <w:gridCol w:w="1708"/>
        <w:gridCol w:w="333"/>
        <w:gridCol w:w="222"/>
        <w:gridCol w:w="222"/>
        <w:gridCol w:w="222"/>
        <w:gridCol w:w="400"/>
        <w:gridCol w:w="676"/>
        <w:gridCol w:w="222"/>
        <w:gridCol w:w="222"/>
        <w:gridCol w:w="222"/>
        <w:gridCol w:w="222"/>
        <w:gridCol w:w="517"/>
        <w:gridCol w:w="914"/>
        <w:gridCol w:w="419"/>
      </w:tblGrid>
      <w:tr>
        <w:trPr/>
        <w:tc>
          <w:tcPr>
            <w:tcW w:w="111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3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Gross Notional</w:t>
            </w:r>
            <w:r>
              <w:rPr>
                <w:rFonts w:ascii="Times New Roman;serif" w:hAnsi="Times New Roman;serif"/>
                <w:b/>
                <w:color w:val="000000"/>
                <w:sz w:val="12"/>
              </w:rPr>
              <w:t>(1)</w:t>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3,268 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futures</w:t>
            </w:r>
          </w:p>
        </w:tc>
        <w:tc>
          <w:tcPr>
            <w:tcW w:w="2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9,328 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6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26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 Gross notional amounts represent the U.S. Dollar denominated size of the underlying asset for the derivative instrument. They do not accurately reflect the Company's economic exposure as they do not reflect the Company's long and short derivative positions.</w:t>
            </w:r>
          </w:p>
        </w:tc>
      </w:tr>
    </w:tbl>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16840"/>
                <wp:effectExtent l="0" t="0" r="0" b="0"/>
                <wp:wrapNone/>
                <wp:docPr id="184" name="Frame1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174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balance sheet impact of crypto asset options and futures not designated as hedges and measured at fair value as of December 31, 2024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31"/>
        <w:gridCol w:w="992"/>
        <w:gridCol w:w="1002"/>
        <w:gridCol w:w="462"/>
        <w:gridCol w:w="1739"/>
        <w:gridCol w:w="256"/>
        <w:gridCol w:w="202"/>
        <w:gridCol w:w="202"/>
        <w:gridCol w:w="202"/>
        <w:gridCol w:w="365"/>
        <w:gridCol w:w="1035"/>
        <w:gridCol w:w="202"/>
        <w:gridCol w:w="202"/>
        <w:gridCol w:w="202"/>
        <w:gridCol w:w="202"/>
        <w:gridCol w:w="365"/>
        <w:gridCol w:w="1147"/>
        <w:gridCol w:w="297"/>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Gross Notional</w:t>
            </w:r>
            <w:r>
              <w:rPr>
                <w:rFonts w:ascii="Times New Roman;serif" w:hAnsi="Times New Roman;serif"/>
                <w:b/>
                <w:color w:val="000000"/>
                <w:sz w:val="12"/>
              </w:rPr>
              <w:t>(1)</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r>
      <w:tr>
        <w:trPr/>
        <w:tc>
          <w:tcPr>
            <w:tcW w:w="3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229,546 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(6,371)</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futures</w:t>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(1,249)</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(7,620)</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c>
        <w:tc>
          <w:tcPr>
            <w:tcW w:w="24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 Gross notional amounts represent the U.S. Dollar denominated size of the underlying asset for the derivative instrument. They do not accurately reflect the Company's economic exposure as they do not reflect the Company's long and short derivative positions.</w:t>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Please refer to </w:t>
      </w:r>
      <w:r>
        <w:rPr>
          <w:rFonts w:ascii="Times New Roman;serif" w:hAnsi="Times New Roman;serif"/>
          <w:b w:val="false"/>
          <w:i/>
          <w:color w:val="000000"/>
          <w:sz w:val="20"/>
        </w:rPr>
        <w:t>Note</w:t>
      </w:r>
      <w:r>
        <w:rPr>
          <w:color w:val="000000"/>
        </w:rPr>
        <w:t xml:space="preserve"> </w:t>
      </w:r>
      <w:r>
        <w:rPr>
          <w:rFonts w:ascii="Times New Roman;serif" w:hAnsi="Times New Roman;serif"/>
          <w:b w:val="false"/>
          <w:i/>
          <w:color w:val="000000"/>
          <w:sz w:val="20"/>
        </w:rPr>
        <w:t>5.</w:t>
      </w:r>
      <w:r>
        <w:rPr>
          <w:color w:val="000000"/>
        </w:rPr>
        <w:t xml:space="preserve">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for fair value details on embedded derivatives. During the years ended December 31, 2025 and 2024, the change in fair value of the embedded derivatives decreased by $0.7 million and increased by $0.3 million, respectively.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Gain (loss) on changes in the fair value of options and futures recorded in Other income (expense), net on the consolidated statements of operations and comprehensive loss were as follows (in thousands): </w:t>
      </w:r>
    </w:p>
    <w:p>
      <w:pPr>
        <w:pStyle w:val="TextBody"/>
        <w:bidi w:val="0"/>
        <w:spacing w:before="0" w:after="0"/>
        <w:jc w:val="both"/>
        <w:rPr/>
      </w:pPr>
      <w:r>
        <w:rPr/>
      </w:r>
    </w:p>
    <w:tbl>
      <w:tblPr>
        <w:tblW w:w="4979" w:type="dxa"/>
        <w:jc w:val="left"/>
        <w:tblInd w:w="0" w:type="dxa"/>
        <w:tblLayout w:type="fixed"/>
        <w:tblCellMar>
          <w:top w:w="28" w:type="dxa"/>
          <w:left w:w="28" w:type="dxa"/>
          <w:bottom w:w="28" w:type="dxa"/>
          <w:right w:w="28" w:type="dxa"/>
        </w:tblCellMar>
      </w:tblPr>
      <w:tblGrid>
        <w:gridCol w:w="571"/>
        <w:gridCol w:w="500"/>
        <w:gridCol w:w="504"/>
        <w:gridCol w:w="109"/>
        <w:gridCol w:w="109"/>
        <w:gridCol w:w="168"/>
        <w:gridCol w:w="302"/>
        <w:gridCol w:w="973"/>
        <w:gridCol w:w="168"/>
        <w:gridCol w:w="168"/>
        <w:gridCol w:w="168"/>
        <w:gridCol w:w="168"/>
        <w:gridCol w:w="196"/>
        <w:gridCol w:w="721"/>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071" w:type="dxa"/>
            <w:gridSpan w:val="3"/>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futures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(1,060)</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futures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(3,054)</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below table represents the breakdown of crypto asset collateral associated with derivative positions (in thousands):</w:t>
      </w:r>
    </w:p>
    <w:tbl>
      <w:tblPr>
        <w:tblW w:w="8665" w:type="dxa"/>
        <w:jc w:val="left"/>
        <w:tblInd w:w="0" w:type="dxa"/>
        <w:tblLayout w:type="fixed"/>
        <w:tblCellMar>
          <w:top w:w="28" w:type="dxa"/>
          <w:left w:w="28" w:type="dxa"/>
          <w:bottom w:w="28" w:type="dxa"/>
          <w:right w:w="28" w:type="dxa"/>
        </w:tblCellMar>
      </w:tblPr>
      <w:tblGrid>
        <w:gridCol w:w="1886"/>
        <w:gridCol w:w="1653"/>
        <w:gridCol w:w="1665"/>
        <w:gridCol w:w="351"/>
        <w:gridCol w:w="997"/>
        <w:gridCol w:w="197"/>
        <w:gridCol w:w="109"/>
        <w:gridCol w:w="109"/>
        <w:gridCol w:w="109"/>
        <w:gridCol w:w="313"/>
        <w:gridCol w:w="1031"/>
        <w:gridCol w:w="245"/>
      </w:tblGrid>
      <w:tr>
        <w:trPr/>
        <w:tc>
          <w:tcPr>
            <w:tcW w:w="1886"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held as collateral meeting the recognition criteria</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15,275 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held as collateral not meeting the recognition criteria</w:t>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pledged as collateral not meeting the derecognition criteria</w:t>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16840"/>
                <wp:effectExtent l="0" t="0" r="0" b="0"/>
                <wp:wrapNone/>
                <wp:docPr id="185" name="Frame1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Crypto Assets Held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crypto assets held at fair value by the Company (in thousands except for units):</w:t>
      </w:r>
    </w:p>
    <w:p>
      <w:pPr>
        <w:pStyle w:val="TextBody"/>
        <w:bidi w:val="0"/>
        <w:spacing w:before="0" w:after="0"/>
        <w:jc w:val="both"/>
        <w:rPr/>
      </w:pPr>
      <w:r>
        <w:rPr/>
      </w:r>
    </w:p>
    <w:tbl>
      <w:tblPr>
        <w:tblW w:w="5252" w:type="dxa"/>
        <w:jc w:val="left"/>
        <w:tblInd w:w="0" w:type="dxa"/>
        <w:tblLayout w:type="fixed"/>
        <w:tblCellMar>
          <w:top w:w="28" w:type="dxa"/>
          <w:left w:w="28" w:type="dxa"/>
          <w:bottom w:w="28" w:type="dxa"/>
          <w:right w:w="28" w:type="dxa"/>
        </w:tblCellMar>
      </w:tblPr>
      <w:tblGrid>
        <w:gridCol w:w="628"/>
        <w:gridCol w:w="554"/>
        <w:gridCol w:w="557"/>
        <w:gridCol w:w="278"/>
        <w:gridCol w:w="278"/>
        <w:gridCol w:w="176"/>
        <w:gridCol w:w="109"/>
        <w:gridCol w:w="109"/>
        <w:gridCol w:w="109"/>
        <w:gridCol w:w="196"/>
        <w:gridCol w:w="736"/>
        <w:gridCol w:w="109"/>
        <w:gridCol w:w="109"/>
        <w:gridCol w:w="109"/>
        <w:gridCol w:w="109"/>
        <w:gridCol w:w="196"/>
        <w:gridCol w:w="73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420,635 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Ether</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crypto assets</w:t>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8"/>
              </w:rPr>
              <w:t>nm</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439,622 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c>
          <w:tcPr>
            <w:tcW w:w="7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not meaningful</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52" w:type="dxa"/>
        <w:jc w:val="left"/>
        <w:tblInd w:w="0" w:type="dxa"/>
        <w:tblLayout w:type="fixed"/>
        <w:tblCellMar>
          <w:top w:w="28" w:type="dxa"/>
          <w:left w:w="28" w:type="dxa"/>
          <w:bottom w:w="28" w:type="dxa"/>
          <w:right w:w="28" w:type="dxa"/>
        </w:tblCellMar>
      </w:tblPr>
      <w:tblGrid>
        <w:gridCol w:w="628"/>
        <w:gridCol w:w="554"/>
        <w:gridCol w:w="557"/>
        <w:gridCol w:w="278"/>
        <w:gridCol w:w="278"/>
        <w:gridCol w:w="176"/>
        <w:gridCol w:w="109"/>
        <w:gridCol w:w="109"/>
        <w:gridCol w:w="109"/>
        <w:gridCol w:w="196"/>
        <w:gridCol w:w="736"/>
        <w:gridCol w:w="109"/>
        <w:gridCol w:w="109"/>
        <w:gridCol w:w="109"/>
        <w:gridCol w:w="109"/>
        <w:gridCol w:w="196"/>
        <w:gridCol w:w="73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412,115 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Ether</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crypto assets</w:t>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8"/>
              </w:rPr>
              <w:t>nm</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470,101 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c>
          <w:tcPr>
            <w:tcW w:w="7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 not meaningful</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roll-forward of the Company's crypto assets held measured at fair value (in thousands):</w:t>
      </w:r>
    </w:p>
    <w:tbl>
      <w:tblPr>
        <w:tblW w:w="10205" w:type="dxa"/>
        <w:jc w:val="left"/>
        <w:tblInd w:w="0" w:type="dxa"/>
        <w:tblLayout w:type="fixed"/>
        <w:tblCellMar>
          <w:top w:w="28" w:type="dxa"/>
          <w:left w:w="28" w:type="dxa"/>
          <w:bottom w:w="28" w:type="dxa"/>
          <w:right w:w="28" w:type="dxa"/>
        </w:tblCellMar>
      </w:tblPr>
      <w:tblGrid>
        <w:gridCol w:w="1050"/>
        <w:gridCol w:w="878"/>
        <w:gridCol w:w="881"/>
        <w:gridCol w:w="289"/>
        <w:gridCol w:w="1085"/>
        <w:gridCol w:w="160"/>
        <w:gridCol w:w="160"/>
        <w:gridCol w:w="160"/>
        <w:gridCol w:w="160"/>
        <w:gridCol w:w="289"/>
        <w:gridCol w:w="952"/>
        <w:gridCol w:w="160"/>
        <w:gridCol w:w="160"/>
        <w:gridCol w:w="160"/>
        <w:gridCol w:w="160"/>
        <w:gridCol w:w="289"/>
        <w:gridCol w:w="952"/>
        <w:gridCol w:w="160"/>
        <w:gridCol w:w="160"/>
        <w:gridCol w:w="160"/>
        <w:gridCol w:w="160"/>
        <w:gridCol w:w="290"/>
        <w:gridCol w:w="1092"/>
        <w:gridCol w:w="238"/>
      </w:tblGrid>
      <w:tr>
        <w:trPr/>
        <w:tc>
          <w:tcPr>
            <w:tcW w:w="105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Bitcoin</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Ether</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Crypto assets held at December 31, 2023</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295,320 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25,718 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327,866 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09"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Addition of crypto assets</w:t>
            </w:r>
            <w:r>
              <w:rPr>
                <w:rFonts w:ascii="Times New Roman;serif" w:hAnsi="Times New Roman;serif"/>
                <w:b w:val="false"/>
                <w:color w:val="000000"/>
                <w:sz w:val="12"/>
              </w:rPr>
              <w:t>(1)</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431,487 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299,660 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743,034 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Disposition of crypto assets</w:t>
            </w:r>
            <w:r>
              <w:rPr>
                <w:rFonts w:ascii="Times New Roman;serif" w:hAnsi="Times New Roman;serif"/>
                <w:b w:val="false"/>
                <w:color w:val="000000"/>
                <w:sz w:val="12"/>
              </w:rPr>
              <w:t>(1)</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(608,225)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(327,979)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(9,428)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(945,632)</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Realized gain on crypto assets</w:t>
            </w:r>
            <w:r>
              <w:rPr>
                <w:rFonts w:ascii="Times New Roman;serif" w:hAnsi="Times New Roman;serif"/>
                <w:b w:val="false"/>
                <w:color w:val="000000"/>
                <w:sz w:val="12"/>
              </w:rPr>
              <w:t>(2)</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149,878 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177,528 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loss on crypto assets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(1,764)</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Unrealized gain (loss) on crypto assets</w:t>
            </w:r>
            <w:r>
              <w:rPr>
                <w:rFonts w:ascii="Times New Roman;serif" w:hAnsi="Times New Roman;serif"/>
                <w:b w:val="false"/>
                <w:color w:val="000000"/>
                <w:sz w:val="12"/>
              </w:rPr>
              <w:t>(3)</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144,265 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169,069 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Crypto assets held at December 31, 2024</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412,115 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17,562 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40,424 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470,101 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Addition of crypto assets</w:t>
            </w:r>
            <w:r>
              <w:rPr>
                <w:rFonts w:ascii="Times New Roman;serif" w:hAnsi="Times New Roman;serif"/>
                <w:b w:val="false"/>
                <w:color w:val="000000"/>
                <w:sz w:val="12"/>
              </w:rPr>
              <w:t>(4)(5)</w:t>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696,251 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430,434 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39,693 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1,166,378 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Disposition of crypto assets</w:t>
            </w:r>
            <w:r>
              <w:rPr>
                <w:rFonts w:ascii="Times New Roman;serif" w:hAnsi="Times New Roman;serif"/>
                <w:b w:val="false"/>
                <w:color w:val="000000"/>
                <w:sz w:val="12"/>
              </w:rPr>
              <w:t>(4)(5)</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(640,120)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(441,969)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(39,097)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(1,121,186)</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Realized gain on crypto assets</w:t>
            </w:r>
            <w:r>
              <w:rPr>
                <w:rFonts w:ascii="Times New Roman;serif" w:hAnsi="Times New Roman;serif"/>
                <w:b w:val="false"/>
                <w:color w:val="000000"/>
                <w:sz w:val="12"/>
              </w:rPr>
              <w:t>(2)</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116,174 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loss on crypto assets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(15,066)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(29,589)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(46,700)</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Unrealized gain (loss) on crypto assets</w:t>
            </w:r>
            <w:r>
              <w:rPr>
                <w:rFonts w:ascii="Times New Roman;serif" w:hAnsi="Times New Roman;serif"/>
                <w:b w:val="false"/>
                <w:color w:val="000000"/>
                <w:sz w:val="12"/>
              </w:rPr>
              <w:t>(3)</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(109,892)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(33,183)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(145,145)</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Crypto assets held at December 31, 2025</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420,635 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10,915 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439,622 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c>
          <w:tcPr>
            <w:tcW w:w="15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4"/>
              </w:rPr>
              <w:t xml:space="preserve">(1) Includes acquisitions of 2,715 Bitcoin and 68,996 Ether totaling $384.3 million and dispositions of 1,879 Bitcoin and 56,766 Ether totaling $275.1 million to manage collateral obligation under its loan agreements as of December 31, 2024. Refer to </w:t>
            </w:r>
            <w:r>
              <w:rPr>
                <w:rFonts w:ascii="Times New Roman;serif" w:hAnsi="Times New Roman;serif"/>
                <w:b w:val="false"/>
                <w:i/>
                <w:color w:val="000000"/>
                <w:sz w:val="14"/>
              </w:rPr>
              <w:t xml:space="preserve">Note 2. Summary of Significant Accounting Policies </w:t>
            </w:r>
            <w:r>
              <w:rPr>
                <w:rFonts w:ascii="Times New Roman;serif" w:hAnsi="Times New Roman;serif"/>
                <w:b w:val="false"/>
                <w:color w:val="000000"/>
                <w:sz w:val="14"/>
              </w:rPr>
              <w:t xml:space="preserve">for further details. </w:t>
            </w:r>
          </w:p>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(2) Excludes realized gain on Receivable, crypto assets pledged of $117.4 million and $135.8 million as of December 31, 2025 and December 31, 2024, respectively.</w:t>
            </w:r>
          </w:p>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(3) Excludes unrealized loss on Receivable, crypto assets pledged of $43.0 million and $17.8 million as of December 31, 2025 and December 31, 2024, respectively.</w:t>
            </w:r>
          </w:p>
          <w:p>
            <w:pPr>
              <w:pStyle w:val="TableContents"/>
              <w:bidi w:val="0"/>
              <w:spacing w:lineRule="auto" w:line="240" w:before="0" w:after="0"/>
              <w:ind w:left="0" w:right="0" w:hanging="180"/>
              <w:jc w:val="both"/>
              <w:rPr/>
            </w:pPr>
            <w:r>
              <w:rPr>
                <w:rFonts w:ascii="Times New Roman;serif" w:hAnsi="Times New Roman;serif"/>
                <w:b w:val="false"/>
                <w:color w:val="000000"/>
                <w:sz w:val="14"/>
              </w:rPr>
              <w:t xml:space="preserve">(4) Includes acquisitions of 1,434 Bitcoin and 86,321 Ether totaling $435.1 million and dispositions of 505 Bitcoin and 61,696 Ether totaling $192.4 million to manage collateral obligation under its loan agreements as of December 31, 2025. Refer to </w:t>
            </w:r>
            <w:r>
              <w:rPr>
                <w:rFonts w:ascii="Times New Roman;serif" w:hAnsi="Times New Roman;serif"/>
                <w:b w:val="false"/>
                <w:i/>
                <w:color w:val="000000"/>
                <w:sz w:val="14"/>
              </w:rPr>
              <w:t xml:space="preserve">Note 2. Summary of Significant Accounting Policies </w:t>
            </w:r>
            <w:r>
              <w:rPr>
                <w:rFonts w:ascii="Times New Roman;serif" w:hAnsi="Times New Roman;serif"/>
                <w:b w:val="false"/>
                <w:color w:val="000000"/>
                <w:sz w:val="14"/>
              </w:rPr>
              <w:t xml:space="preserve">for further details. </w:t>
            </w:r>
          </w:p>
          <w:p>
            <w:pPr>
              <w:pStyle w:val="TableContents"/>
              <w:bidi w:val="0"/>
              <w:spacing w:lineRule="auto" w:line="240" w:before="0" w:after="0"/>
              <w:ind w:left="0" w:right="0" w:hanging="180"/>
              <w:jc w:val="both"/>
              <w:rPr/>
            </w:pPr>
            <w:r>
              <w:rPr>
                <w:rFonts w:ascii="Times New Roman;serif" w:hAnsi="Times New Roman;serif"/>
                <w:b w:val="false"/>
                <w:color w:val="000000"/>
                <w:sz w:val="14"/>
              </w:rPr>
              <w:t>(5) Beginning in the third quarter of 2025, the Company began using certain customer collateral received under its rehypothecation rights. As a result, these assets are now presented in Crypto assets held on the consolidated balance sheets</w:t>
            </w:r>
            <w:r>
              <w:rPr>
                <w:rFonts w:ascii="Times New Roman;serif" w:hAnsi="Times New Roman;serif"/>
                <w:b w:val="false"/>
                <w:color w:val="000000"/>
                <w:sz w:val="20"/>
              </w:rPr>
              <w:t xml:space="preserve">. </w:t>
            </w:r>
            <w:r>
              <w:rPr>
                <w:rFonts w:ascii="Times New Roman;serif" w:hAnsi="Times New Roman;serif"/>
                <w:b w:val="false"/>
                <w:color w:val="000000"/>
                <w:sz w:val="14"/>
              </w:rPr>
              <w:t>In prior periods, these assets were included in Prepaid expenses and other current assets on the consolidated balance sheets. Included in acquisitions is 132 Bitcoin totaling $11.5 million and in dispositions 5 Bitcoin and 1 Ether and Other crypto assets totaling $0.6 million related to customer collateral received under rehypothecation rights as of December 31, 2025.</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16840"/>
                <wp:effectExtent l="0" t="0" r="0" b="0"/>
                <wp:wrapNone/>
                <wp:docPr id="186" name="Frame1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176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Crypto assets held by the Company are measured at fair value on a recurring basis using quoted prices in active markets and are classified as Level 1 within the fair value hierarchy. Restricted crypto assets are also included within Crypto assets held on the consolidated balance sheets. Restrictions on use do not affect the Company’s ability to recognize these crypto assets when control is retained.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holds crypto assets primarily for operational purposes, including to support transaction processing, satisfy liquidity coverage and regulatory capital requirements for certain regulated subsidiaries, and meet collateral requirements under financing and other contractual arrangements. The Company acquires crypto assets primarily through related party loans, revenue denominated in crypto assets, and direct purchases of crypto assets. The Company disposes of crypto assets through repayments of principal and interest on related party crypto loans, sales of crypto assets and the settlement of operating expenses.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Crypto assets are initially recorded at their fair value at the time of acquisition, which represents their cost basis. Gains and losses on disposal are determined using the first-in-first-out ( “FIFO”) method.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subsidiaries of the Company are required to maintain surety bonds in connection with money transmitter licenses. In connection with these requirements, the Company has designated 623 bitcoin, with a fair value of $54.3 million, as collateral to insurance providers, which is reassessed on an annual basis.</w:t>
      </w:r>
    </w:p>
    <w:p>
      <w:pPr>
        <w:pStyle w:val="TextBody"/>
        <w:bidi w:val="0"/>
        <w:spacing w:before="0" w:after="0"/>
        <w:jc w:val="both"/>
        <w:rPr/>
      </w:pPr>
      <w:r>
        <w:rPr/>
      </w:r>
    </w:p>
    <w:p>
      <w:pPr>
        <w:pStyle w:val="TextBody"/>
        <w:bidi w:val="0"/>
        <w:spacing w:lineRule="auto" w:line="288" w:before="0" w:after="0"/>
        <w:ind w:left="0" w:right="0" w:firstLine="900"/>
        <w:jc w:val="left"/>
        <w:rPr/>
      </w:pPr>
      <w:r>
        <w:rPr>
          <w:rFonts w:ascii="Times New Roman;serif" w:hAnsi="Times New Roman;serif"/>
          <w:b w:val="false"/>
          <w:color w:val="000000"/>
          <w:sz w:val="20"/>
        </w:rPr>
        <w:t xml:space="preserve">As of December 31, 2025 and 2024, the Company held 2,721 bitcoin and 3,116 bitcoin, respectively, with a fair value of $237.1 million and $290.9 million, respectively, that are restricted in use under the terms of certain related party crypto asset loan agreements. These crypto assets are designated and maintained to satisfy regulatory capital requirements and the restrictions remain in effect while the related party crypto asset loan agreements are outstanding. The restrictions may lapse upon repayment or termination of the loans, or other contractual modifications. This bitcoin is included in the Company's related party crypto asset loan with a December 29, 2022, draw date as described in </w:t>
      </w:r>
      <w:r>
        <w:rPr>
          <w:rFonts w:ascii="Times New Roman;serif" w:hAnsi="Times New Roman;serif"/>
          <w:b w:val="false"/>
          <w:i/>
          <w:color w:val="000000"/>
          <w:sz w:val="20"/>
        </w:rPr>
        <w:t>Note 13. Related Party Loans and Convertible Notes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In addition, as of December 31, 2025 and 2024, the Company held 1,275 bitcoin and 0 bitcoin, respectively, with a fair value of $111.1 million and $0, respectively, that are restricted in use under the terms of certain third party crypto asset loan agreements. These crypto assets are designated and maintained to satisfy agreed upon collateral requirements. Because the Company retains control over these assets and the counterparty is not permitted to sell, pledge, rehypothecate, or otherwise use the assets, the restricted crypto assets continue to be recognized within Crypto assets held on the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16840"/>
                <wp:effectExtent l="0" t="0" r="0" b="0"/>
                <wp:wrapNone/>
                <wp:docPr id="187" name="Frame1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177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8. Prepaid Expenses and Other Assets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 consisted of the following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48"/>
        <w:gridCol w:w="1780"/>
        <w:gridCol w:w="1793"/>
        <w:gridCol w:w="386"/>
        <w:gridCol w:w="1273"/>
        <w:gridCol w:w="214"/>
        <w:gridCol w:w="214"/>
        <w:gridCol w:w="214"/>
        <w:gridCol w:w="214"/>
        <w:gridCol w:w="386"/>
        <w:gridCol w:w="1273"/>
        <w:gridCol w:w="310"/>
      </w:tblGrid>
      <w:tr>
        <w:trPr/>
        <w:tc>
          <w:tcPr>
            <w:tcW w:w="2148"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5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5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721"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Prepaid expenses and other current assets</w:t>
            </w:r>
          </w:p>
        </w:tc>
        <w:tc>
          <w:tcPr>
            <w:tcW w:w="1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collateral held</w:t>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15,275 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collateral pledged</w:t>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16,400 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14,164 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Stablecoin</w:t>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12,491 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Prefunded clearing advance</w:t>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6,090 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prepaid expenses and other current assets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52,140 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37,134 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Other non-current assets </w:t>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right-of-use assets</w:t>
            </w:r>
          </w:p>
        </w:tc>
        <w:tc>
          <w:tcPr>
            <w:tcW w:w="3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18,559 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14,512 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investments</w:t>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9,428 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10,638 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Warrant derivative</w:t>
            </w:r>
            <w:r>
              <w:rPr>
                <w:rFonts w:ascii="Times New Roman;serif" w:hAnsi="Times New Roman;serif"/>
                <w:b w:val="false"/>
                <w:color w:val="000000"/>
                <w:sz w:val="12"/>
              </w:rPr>
              <w:t>(1)</w:t>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Warrant receivable</w:t>
            </w:r>
            <w:r>
              <w:rPr>
                <w:rFonts w:ascii="Times New Roman;serif" w:hAnsi="Times New Roman;serif"/>
                <w:b w:val="false"/>
                <w:color w:val="000000"/>
                <w:sz w:val="12"/>
              </w:rPr>
              <w:t>(2)</w:t>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non-current assets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40,708 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26,872 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8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4"/>
              </w:rPr>
              <w:t xml:space="preserve">(1) Warrant derivative represents the vested warrants received in connection with an advisory agreement. The vested warrants meet the definition of a derivative under ASC 815, </w:t>
            </w:r>
            <w:r>
              <w:rPr>
                <w:rFonts w:ascii="Times New Roman;serif" w:hAnsi="Times New Roman;serif"/>
                <w:b w:val="false"/>
                <w:i/>
                <w:color w:val="000000"/>
                <w:sz w:val="14"/>
              </w:rPr>
              <w:t>Derivatives and Hedging</w:t>
            </w:r>
            <w:r>
              <w:rPr>
                <w:rFonts w:ascii="Times New Roman;serif" w:hAnsi="Times New Roman;serif"/>
                <w:b w:val="false"/>
                <w:color w:val="000000"/>
                <w:sz w:val="14"/>
              </w:rPr>
              <w:t xml:space="preserve">, and are subject to fair value adjustments. Refer to </w:t>
            </w:r>
            <w:r>
              <w:rPr>
                <w:rFonts w:ascii="Times New Roman;serif" w:hAnsi="Times New Roman;serif"/>
                <w:b w:val="false"/>
                <w:i/>
                <w:color w:val="000000"/>
                <w:sz w:val="14"/>
              </w:rPr>
              <w:t>Note 5. Fair Value Measurements.</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The warrant receivable represents a contract asset initially measured at fair value of $10.8 million. As of December 31, 2025, $4.3 million had vested, resulting in a remaining contract asset of $6.5 million.</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include cash collateral pledged in connection with certain sale and repurchase transactions, which is restricted from general corporate use, as well as prefunded clearing advances maintained with third-party clearing organizations to facilitate prediction market settlement activity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Measurement alternative investments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accounts for investments under the measurement alternative method whereby they are measured at cost, less impairment, subject to upward and downward adjustments resulting from observable price changes for identical or similar investments of the same issuer. The changes in the carrying value of strategic investments are accounted for under the measurement alternative are presented below (in thousands):</w:t>
      </w:r>
    </w:p>
    <w:p>
      <w:pPr>
        <w:pStyle w:val="TextBody"/>
        <w:bidi w:val="0"/>
        <w:spacing w:before="0" w:after="0"/>
        <w:jc w:val="both"/>
        <w:rPr/>
      </w:pPr>
      <w:r>
        <w:rPr/>
      </w:r>
    </w:p>
    <w:tbl>
      <w:tblPr>
        <w:tblW w:w="7692" w:type="dxa"/>
        <w:jc w:val="left"/>
        <w:tblInd w:w="0" w:type="dxa"/>
        <w:tblLayout w:type="fixed"/>
        <w:tblCellMar>
          <w:top w:w="28" w:type="dxa"/>
          <w:left w:w="28" w:type="dxa"/>
          <w:bottom w:w="28" w:type="dxa"/>
          <w:right w:w="28" w:type="dxa"/>
        </w:tblCellMar>
      </w:tblPr>
      <w:tblGrid>
        <w:gridCol w:w="1585"/>
        <w:gridCol w:w="1392"/>
        <w:gridCol w:w="1399"/>
        <w:gridCol w:w="286"/>
        <w:gridCol w:w="942"/>
        <w:gridCol w:w="159"/>
        <w:gridCol w:w="159"/>
        <w:gridCol w:w="159"/>
        <w:gridCol w:w="159"/>
        <w:gridCol w:w="286"/>
        <w:gridCol w:w="942"/>
        <w:gridCol w:w="224"/>
      </w:tblGrid>
      <w:tr>
        <w:trPr/>
        <w:tc>
          <w:tcPr>
            <w:tcW w:w="158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4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amount, beginning balance</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10,638 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11,708 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reductions</w:t>
            </w:r>
            <w:r>
              <w:rPr>
                <w:rFonts w:ascii="Times New Roman;serif" w:hAnsi="Times New Roman;serif"/>
                <w:b w:val="false"/>
                <w:color w:val="000000"/>
                <w:sz w:val="12"/>
              </w:rPr>
              <w:t>(1)</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(1,021)</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Upward adjustments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 and downward adjustments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amount, ending balance</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9,428 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10,638 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 Includes additions from purchases, reductions due to exits of securities and reclassifications due to changes to capital structure.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16840"/>
                <wp:effectExtent l="0" t="0" r="0" b="0"/>
                <wp:wrapNone/>
                <wp:docPr id="188" name="Frame1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178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Cumulative upward adjustments for strategic investments held were $4.5 million as of both December 31, 2025 and December 31, 2024. Cumulative impairments and downward adjustments were $1.2 million as of both December 31, 2025 and December 31, 2024. Upward adjustments, impairments, and downward adjustments are included in Other income (expense), net on the consolidated statements of operations and comprehensive loss.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 Software, Property and Equipment, Net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Software, property and equipment, net consisted of the following (in thousands):</w:t>
      </w:r>
    </w:p>
    <w:tbl>
      <w:tblPr>
        <w:tblW w:w="5439" w:type="dxa"/>
        <w:jc w:val="left"/>
        <w:tblInd w:w="0" w:type="dxa"/>
        <w:tblLayout w:type="fixed"/>
        <w:tblCellMar>
          <w:top w:w="28" w:type="dxa"/>
          <w:left w:w="28" w:type="dxa"/>
          <w:bottom w:w="28" w:type="dxa"/>
          <w:right w:w="28" w:type="dxa"/>
        </w:tblCellMar>
      </w:tblPr>
      <w:tblGrid>
        <w:gridCol w:w="1144"/>
        <w:gridCol w:w="1006"/>
        <w:gridCol w:w="1015"/>
        <w:gridCol w:w="196"/>
        <w:gridCol w:w="646"/>
        <w:gridCol w:w="109"/>
        <w:gridCol w:w="109"/>
        <w:gridCol w:w="109"/>
        <w:gridCol w:w="109"/>
        <w:gridCol w:w="196"/>
        <w:gridCol w:w="646"/>
        <w:gridCol w:w="154"/>
      </w:tblGrid>
      <w:tr>
        <w:trPr/>
        <w:tc>
          <w:tcPr>
            <w:tcW w:w="114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Computers and other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 and 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Software, property and equipment,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attributable to software, property, and equipment was $1.7 million for the years ended December 31, 2025 and 2024, respectively, and $3.8 million for the year ended December 31, 2023. Depreciation expense attributable to software, property, and equipment is reflected in General and administrative on the consolidated statements of operations and comprehensive loss. Amortization expense attributable to software, property and equipment was $6.7 million, $8.4 million, and $6.7 million for the years ended December 31, 2025, 2024, and 2023, respectively. Amortization expense attributable to software, property, equipment is reflected in Technology on the consolidated statements of operations and comprehensive loss. Total additions to software were $5.7 million, $4.8 million, and $6.2 million for the years ended December 31, 2025, 2024, and 2023, respectively.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software, property and equipment was located and utilized within the United States as of December 31, 2025 and 2024.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Company recorded an impairment loss on software of $0.6 million, less than $0.1 million, and $0.2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556" w:before="0" w:after="0"/>
        <w:jc w:val="both"/>
        <w:rPr>
          <w:rFonts w:ascii="Times New Roman;serif" w:hAnsi="Times New Roman;serif"/>
          <w:b/>
          <w:color w:val="000000"/>
          <w:sz w:val="20"/>
        </w:rPr>
      </w:pPr>
      <w:r>
        <w:rPr>
          <w:rFonts w:ascii="Times New Roman;serif" w:hAnsi="Times New Roman;serif"/>
          <w:b/>
          <w:color w:val="000000"/>
          <w:sz w:val="20"/>
        </w:rPr>
        <w:t>10. Intangible Assets, Net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 December 31, 2025 (in thousands):</w:t>
      </w:r>
    </w:p>
    <w:p>
      <w:pPr>
        <w:pStyle w:val="TextBody"/>
        <w:bidi w:val="0"/>
        <w:spacing w:before="0" w:after="0"/>
        <w:jc w:val="both"/>
        <w:rPr/>
      </w:pPr>
      <w:r>
        <w:rPr/>
      </w:r>
    </w:p>
    <w:tbl>
      <w:tblPr>
        <w:tblW w:w="9031" w:type="dxa"/>
        <w:jc w:val="left"/>
        <w:tblInd w:w="0" w:type="dxa"/>
        <w:tblLayout w:type="fixed"/>
        <w:tblCellMar>
          <w:top w:w="28" w:type="dxa"/>
          <w:left w:w="28" w:type="dxa"/>
          <w:bottom w:w="28" w:type="dxa"/>
          <w:right w:w="28" w:type="dxa"/>
        </w:tblCellMar>
      </w:tblPr>
      <w:tblGrid>
        <w:gridCol w:w="771"/>
        <w:gridCol w:w="677"/>
        <w:gridCol w:w="682"/>
        <w:gridCol w:w="375"/>
        <w:gridCol w:w="1411"/>
        <w:gridCol w:w="208"/>
        <w:gridCol w:w="109"/>
        <w:gridCol w:w="109"/>
        <w:gridCol w:w="109"/>
        <w:gridCol w:w="443"/>
        <w:gridCol w:w="1498"/>
        <w:gridCol w:w="249"/>
        <w:gridCol w:w="109"/>
        <w:gridCol w:w="109"/>
        <w:gridCol w:w="109"/>
        <w:gridCol w:w="109"/>
        <w:gridCol w:w="109"/>
        <w:gridCol w:w="333"/>
        <w:gridCol w:w="1251"/>
        <w:gridCol w:w="261"/>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Intangible Assets, Net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Amortizing intangible assets</w:t>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178,005 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(48,457)</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129,548 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50,781 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(40,887)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Assembled workforce</w:t>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230,706 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(90,901)</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139,805 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16840"/>
                <wp:effectExtent l="0" t="0" r="0" b="0"/>
                <wp:wrapNone/>
                <wp:docPr id="189" name="Frame1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179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 December 31, 2024 (in thousands):</w:t>
      </w:r>
    </w:p>
    <w:p>
      <w:pPr>
        <w:pStyle w:val="TextBody"/>
        <w:bidi w:val="0"/>
        <w:spacing w:before="0" w:after="0"/>
        <w:jc w:val="both"/>
        <w:rPr/>
      </w:pPr>
      <w:r>
        <w:rPr/>
      </w:r>
    </w:p>
    <w:tbl>
      <w:tblPr>
        <w:tblW w:w="9031" w:type="dxa"/>
        <w:jc w:val="left"/>
        <w:tblInd w:w="0" w:type="dxa"/>
        <w:tblLayout w:type="fixed"/>
        <w:tblCellMar>
          <w:top w:w="28" w:type="dxa"/>
          <w:left w:w="28" w:type="dxa"/>
          <w:bottom w:w="28" w:type="dxa"/>
          <w:right w:w="28" w:type="dxa"/>
        </w:tblCellMar>
      </w:tblPr>
      <w:tblGrid>
        <w:gridCol w:w="771"/>
        <w:gridCol w:w="677"/>
        <w:gridCol w:w="682"/>
        <w:gridCol w:w="375"/>
        <w:gridCol w:w="1411"/>
        <w:gridCol w:w="208"/>
        <w:gridCol w:w="109"/>
        <w:gridCol w:w="109"/>
        <w:gridCol w:w="109"/>
        <w:gridCol w:w="443"/>
        <w:gridCol w:w="1498"/>
        <w:gridCol w:w="249"/>
        <w:gridCol w:w="109"/>
        <w:gridCol w:w="109"/>
        <w:gridCol w:w="109"/>
        <w:gridCol w:w="109"/>
        <w:gridCol w:w="109"/>
        <w:gridCol w:w="333"/>
        <w:gridCol w:w="1251"/>
        <w:gridCol w:w="261"/>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Intangible Assets, Net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Amortizing intangible assets</w:t>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178,005 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(36,590)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141,415 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50,781 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(30,779)</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Assembled workforce</w:t>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230,706 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(68,563)</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162,143 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expense of intangible assets was $22.3 million, $22.8 million, and $21.7 million for the years ended December 31, 2025, 2024, and 2023, respectively. Amortization expense attributable to patents and developed technology is reflected in Technology on the consolidated statements of operations and comprehensive loss. Amortization expense attributable to customer relationships and assembled workforce is reflected in General and administrative on the consolidated statements of operations and comprehensive loss.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expected future amortization expense for intangible assets as of December 31, 2025 is as follows (in thousands):</w:t>
      </w:r>
    </w:p>
    <w:p>
      <w:pPr>
        <w:pStyle w:val="TextBody"/>
        <w:bidi w:val="0"/>
        <w:spacing w:before="0" w:after="0"/>
        <w:jc w:val="both"/>
        <w:rPr/>
      </w:pPr>
      <w:r>
        <w:rPr/>
      </w:r>
    </w:p>
    <w:tbl>
      <w:tblPr>
        <w:tblW w:w="4220" w:type="dxa"/>
        <w:jc w:val="left"/>
        <w:tblInd w:w="0" w:type="dxa"/>
        <w:tblLayout w:type="fixed"/>
        <w:tblCellMar>
          <w:top w:w="28" w:type="dxa"/>
          <w:left w:w="28" w:type="dxa"/>
          <w:bottom w:w="28" w:type="dxa"/>
          <w:right w:w="28" w:type="dxa"/>
        </w:tblCellMar>
      </w:tblPr>
      <w:tblGrid>
        <w:gridCol w:w="1132"/>
        <w:gridCol w:w="993"/>
        <w:gridCol w:w="1009"/>
        <w:gridCol w:w="196"/>
        <w:gridCol w:w="736"/>
        <w:gridCol w:w="154"/>
      </w:tblGrid>
      <w:tr>
        <w:trPr/>
        <w:tc>
          <w:tcPr>
            <w:tcW w:w="113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expected future amortization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139,805 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16840"/>
                <wp:effectExtent l="0" t="0" r="0" b="0"/>
                <wp:wrapNone/>
                <wp:docPr id="190" name="Frame1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180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Accrued Expenses and Other Current Liabilities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p>
      <w:pPr>
        <w:pStyle w:val="TextBody"/>
        <w:bidi w:val="0"/>
        <w:spacing w:before="0" w:after="0"/>
        <w:jc w:val="left"/>
        <w:rPr/>
      </w:pPr>
      <w:r>
        <w:rPr/>
      </w:r>
    </w:p>
    <w:tbl>
      <w:tblPr>
        <w:tblW w:w="5949" w:type="dxa"/>
        <w:jc w:val="left"/>
        <w:tblInd w:w="0" w:type="dxa"/>
        <w:tblLayout w:type="fixed"/>
        <w:tblCellMar>
          <w:top w:w="28" w:type="dxa"/>
          <w:left w:w="28" w:type="dxa"/>
          <w:bottom w:w="28" w:type="dxa"/>
          <w:right w:w="28" w:type="dxa"/>
        </w:tblCellMar>
      </w:tblPr>
      <w:tblGrid>
        <w:gridCol w:w="1330"/>
        <w:gridCol w:w="1170"/>
        <w:gridCol w:w="1175"/>
        <w:gridCol w:w="196"/>
        <w:gridCol w:w="646"/>
        <w:gridCol w:w="109"/>
        <w:gridCol w:w="109"/>
        <w:gridCol w:w="109"/>
        <w:gridCol w:w="109"/>
        <w:gridCol w:w="196"/>
        <w:gridCol w:w="646"/>
        <w:gridCol w:w="154"/>
      </w:tblGrid>
      <w:tr>
        <w:trPr/>
        <w:tc>
          <w:tcPr>
            <w:tcW w:w="133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loss contingencies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salaries and benefits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accrued expenses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collateral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Commissions to NFT artists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Unearned advisory fee revenue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current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expenses and other current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76,994 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Leases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    The Company has operating leases for office facilities with remaining terms of less than a year to 9 years. Many leases include one or more options to renew, but renewals are not assumed in the determination of the lease term as the Company is not reasonably certain to exercise the renewals. These leases primarily relate to office space in the United States and the United Kingdom and generally require fixed monthly payments, some of which include rent-free periods and contractual rent escalations.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At lease commencement, the Company records a right-of-use asset and a corresponding lease liability based on the present value of lease payments over the lease term, using an incremental borrowing rate determined at lease commencement. All of the Company’s leases are classified as operating leases under FASB ASC Topic 842,</w:t>
      </w:r>
      <w:r>
        <w:rPr>
          <w:color w:val="000000"/>
        </w:rPr>
        <w:t xml:space="preserve"> </w:t>
      </w:r>
      <w:r>
        <w:rPr>
          <w:rFonts w:ascii="Times New Roman;serif" w:hAnsi="Times New Roman;serif"/>
          <w:b w:val="false"/>
          <w:i/>
          <w:color w:val="000000"/>
          <w:sz w:val="20"/>
        </w:rPr>
        <w:t xml:space="preserve">Leases </w:t>
      </w:r>
      <w:r>
        <w:rPr>
          <w:rFonts w:ascii="Times New Roman;serif" w:hAnsi="Times New Roman;serif"/>
          <w:b w:val="false"/>
          <w:color w:val="000000"/>
          <w:sz w:val="20"/>
        </w:rPr>
        <w:t>(“ASC 842”).</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lease expense in General and administrative on the consolidated statements of operations and comprehensive loss. The components of lease expense were as follows (in thousands):</w:t>
      </w:r>
    </w:p>
    <w:p>
      <w:pPr>
        <w:pStyle w:val="TextBody"/>
        <w:bidi w:val="0"/>
        <w:spacing w:before="0" w:after="0"/>
        <w:jc w:val="left"/>
        <w:rPr/>
      </w:pPr>
      <w:r>
        <w:rPr/>
      </w:r>
    </w:p>
    <w:tbl>
      <w:tblPr>
        <w:tblW w:w="5607" w:type="dxa"/>
        <w:jc w:val="left"/>
        <w:tblInd w:w="0" w:type="dxa"/>
        <w:tblLayout w:type="fixed"/>
        <w:tblCellMar>
          <w:top w:w="28" w:type="dxa"/>
          <w:left w:w="28" w:type="dxa"/>
          <w:bottom w:w="28" w:type="dxa"/>
          <w:right w:w="28" w:type="dxa"/>
        </w:tblCellMar>
      </w:tblPr>
      <w:tblGrid>
        <w:gridCol w:w="684"/>
        <w:gridCol w:w="601"/>
        <w:gridCol w:w="604"/>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the Company's operating leases was as follows: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16840"/>
                <wp:effectExtent l="0" t="0" r="0" b="0"/>
                <wp:wrapNone/>
                <wp:docPr id="191" name="Frame1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181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5251" w:type="dxa"/>
        <w:jc w:val="left"/>
        <w:tblInd w:w="0" w:type="dxa"/>
        <w:tblLayout w:type="fixed"/>
        <w:tblCellMar>
          <w:top w:w="28" w:type="dxa"/>
          <w:left w:w="28" w:type="dxa"/>
          <w:bottom w:w="28" w:type="dxa"/>
          <w:right w:w="28" w:type="dxa"/>
        </w:tblCellMar>
      </w:tblPr>
      <w:tblGrid>
        <w:gridCol w:w="1310"/>
        <w:gridCol w:w="1150"/>
        <w:gridCol w:w="1155"/>
        <w:gridCol w:w="188"/>
        <w:gridCol w:w="188"/>
        <w:gridCol w:w="256"/>
        <w:gridCol w:w="109"/>
        <w:gridCol w:w="109"/>
        <w:gridCol w:w="109"/>
        <w:gridCol w:w="188"/>
        <w:gridCol w:w="188"/>
        <w:gridCol w:w="301"/>
      </w:tblGrid>
      <w:tr>
        <w:trPr/>
        <w:tc>
          <w:tcPr>
            <w:tcW w:w="131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(in years)</w:t>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Weighted-average discount rate </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Maturities of operating lease liabilities as of December 31, 2025 were as follows:</w:t>
      </w:r>
    </w:p>
    <w:p>
      <w:pPr>
        <w:pStyle w:val="TextBody"/>
        <w:bidi w:val="0"/>
        <w:spacing w:before="0" w:after="0"/>
        <w:jc w:val="both"/>
        <w:rPr/>
      </w:pPr>
      <w:r>
        <w:rPr/>
      </w:r>
    </w:p>
    <w:tbl>
      <w:tblPr>
        <w:tblW w:w="3620" w:type="dxa"/>
        <w:jc w:val="left"/>
        <w:tblInd w:w="0" w:type="dxa"/>
        <w:tblLayout w:type="fixed"/>
        <w:tblCellMar>
          <w:top w:w="28" w:type="dxa"/>
          <w:left w:w="28" w:type="dxa"/>
          <w:bottom w:w="28" w:type="dxa"/>
          <w:right w:w="28" w:type="dxa"/>
        </w:tblCellMar>
      </w:tblPr>
      <w:tblGrid>
        <w:gridCol w:w="948"/>
        <w:gridCol w:w="832"/>
        <w:gridCol w:w="844"/>
        <w:gridCol w:w="196"/>
        <w:gridCol w:w="646"/>
        <w:gridCol w:w="154"/>
      </w:tblGrid>
      <w:tr>
        <w:trPr/>
        <w:tc>
          <w:tcPr>
            <w:tcW w:w="94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undiscounted lease payments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556" w:before="0" w:after="0"/>
        <w:jc w:val="both"/>
        <w:rPr>
          <w:rFonts w:ascii="Times New Roman;serif" w:hAnsi="Times New Roman;serif"/>
          <w:b/>
          <w:color w:val="000000"/>
          <w:sz w:val="20"/>
        </w:rPr>
      </w:pPr>
      <w:r>
        <w:rPr>
          <w:rFonts w:ascii="Times New Roman;serif" w:hAnsi="Times New Roman;serif"/>
          <w:b/>
          <w:color w:val="000000"/>
          <w:sz w:val="20"/>
        </w:rPr>
        <w:t>13. Related Party Loans and Convertible Notes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regularly enters into lending agreements with Winklevoss Capital Fund, LLC (“WCF”), a related party through common ownership, in order to finance operations, maintain regulatory capital levels in subsidiaries, and fund capital expenditures to grow the business. The Company primarily conducts lending activities with WCF using bitcoin or ether as the loaned instrument or as collateral for USD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Crypto asset loans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several crypto lending agreements with WCF. All principal loan amounts have no stated maturity date but are callable upon written notice by WCF. The Company will have until the end of the business day to repay all outstanding loaned crypto amounts when called. The principal will be paid in-kind and interest outstanding will be payable in either (i) crypto or (ii) cash equivalent to the aggregate value of such crypto as measured at fair value on the daily basis at which the fees accrued. These agreements were made to enable the Company to ensure adequate operational liquidity and meet regulatory capital obligations of its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16840"/>
                <wp:effectExtent l="0" t="0" r="0" b="0"/>
                <wp:wrapNone/>
                <wp:docPr id="192" name="Frame1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182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Crypto asset loans as of December 31,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50"/>
        <w:gridCol w:w="189"/>
        <w:gridCol w:w="190"/>
        <w:gridCol w:w="171"/>
        <w:gridCol w:w="171"/>
        <w:gridCol w:w="172"/>
        <w:gridCol w:w="237"/>
        <w:gridCol w:w="848"/>
        <w:gridCol w:w="143"/>
        <w:gridCol w:w="194"/>
        <w:gridCol w:w="693"/>
        <w:gridCol w:w="117"/>
        <w:gridCol w:w="188"/>
        <w:gridCol w:w="672"/>
        <w:gridCol w:w="113"/>
        <w:gridCol w:w="197"/>
        <w:gridCol w:w="716"/>
        <w:gridCol w:w="118"/>
        <w:gridCol w:w="237"/>
        <w:gridCol w:w="848"/>
        <w:gridCol w:w="143"/>
        <w:gridCol w:w="205"/>
        <w:gridCol w:w="732"/>
        <w:gridCol w:w="123"/>
        <w:gridCol w:w="215"/>
        <w:gridCol w:w="215"/>
        <w:gridCol w:w="216"/>
        <w:gridCol w:w="200"/>
        <w:gridCol w:w="633"/>
        <w:gridCol w:w="120"/>
        <w:gridCol w:w="201"/>
        <w:gridCol w:w="552"/>
        <w:gridCol w:w="186"/>
      </w:tblGrid>
      <w:tr>
        <w:trPr/>
        <w:tc>
          <w:tcPr>
            <w:tcW w:w="25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Loan</w:t>
            </w:r>
            <w:r>
              <w:rPr>
                <w:rFonts w:ascii="Times New Roman;serif" w:hAnsi="Times New Roman;serif"/>
                <w:b/>
                <w:color w:val="000000"/>
                <w:sz w:val="9"/>
              </w:rPr>
              <w:t>(14)</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Draw Date</w:t>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Principal Outstanding as of 12.31.24</w:t>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 Borrowed</w:t>
            </w:r>
          </w:p>
        </w:tc>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 Repaid</w:t>
            </w:r>
          </w:p>
        </w:tc>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Realized Gain (Loss)</w:t>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Principal Outstanding as of 12.31.25</w:t>
            </w:r>
          </w:p>
        </w:tc>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Unrealized Gain (Loss)</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Interest Rate</w:t>
            </w:r>
          </w:p>
        </w:tc>
        <w:tc>
          <w:tcPr>
            <w:tcW w:w="95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 xml:space="preserve">Interest Expense </w:t>
            </w:r>
            <w:r>
              <w:rPr>
                <w:rFonts w:ascii="Times New Roman;serif" w:hAnsi="Times New Roman;serif"/>
                <w:b/>
                <w:color w:val="000000"/>
                <w:sz w:val="9"/>
              </w:rPr>
              <w:t>(12)</w:t>
            </w:r>
          </w:p>
        </w:tc>
        <w:tc>
          <w:tcPr>
            <w:tcW w:w="93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Interest Payable</w:t>
            </w:r>
            <w:r>
              <w:rPr>
                <w:rFonts w:ascii="Times New Roman;serif" w:hAnsi="Times New Roman;serif"/>
                <w:b/>
                <w:color w:val="000000"/>
                <w:sz w:val="9"/>
              </w:rPr>
              <w:t>(13)</w:t>
            </w:r>
          </w:p>
        </w:tc>
      </w:tr>
      <w:tr>
        <w:trPr/>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5,000 BTC</w:t>
            </w:r>
            <w:r>
              <w:rPr>
                <w:rFonts w:ascii="Times New Roman;serif" w:hAnsi="Times New Roman;serif"/>
                <w:b w:val="false"/>
                <w:color w:val="000000"/>
                <w:sz w:val="9"/>
              </w:rPr>
              <w:t>(1)</w:t>
            </w:r>
          </w:p>
        </w:tc>
        <w:tc>
          <w:tcPr>
            <w:tcW w:w="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12/29/2022</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290,929 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39,204 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(32,663)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237,077 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47,312 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11,619 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823 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2,000 BTC</w:t>
            </w:r>
            <w:r>
              <w:rPr>
                <w:rFonts w:ascii="Times New Roman;serif" w:hAnsi="Times New Roman;serif"/>
                <w:b w:val="false"/>
                <w:color w:val="000000"/>
                <w:sz w:val="9"/>
              </w:rPr>
              <w:t>(2)</w:t>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3/1/2023</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102,516 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132,164 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(106,357)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76,710 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35,000 ETH</w:t>
            </w:r>
            <w:r>
              <w:rPr>
                <w:rFonts w:ascii="Times New Roman;serif" w:hAnsi="Times New Roman;serif"/>
                <w:b w:val="false"/>
                <w:color w:val="000000"/>
                <w:sz w:val="9"/>
              </w:rPr>
              <w:t>(3)</w:t>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3/1/2023</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88,234 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116,333 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(72,828)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44,729 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500 BTC</w:t>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5/11/2023</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46,683 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43,571 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340 BTC</w:t>
            </w:r>
            <w:r>
              <w:rPr>
                <w:rFonts w:ascii="Times New Roman;serif" w:hAnsi="Times New Roman;serif"/>
                <w:b w:val="false"/>
                <w:color w:val="000000"/>
                <w:sz w:val="9"/>
              </w:rPr>
              <w:t>(4)</w:t>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10/31/2023</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31,745 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24,482 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(16,892)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10,748 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13,407 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5.0%</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1,546 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5,200 ETH</w:t>
            </w:r>
            <w:r>
              <w:rPr>
                <w:rFonts w:ascii="Times New Roman;serif" w:hAnsi="Times New Roman;serif"/>
                <w:b w:val="false"/>
                <w:color w:val="000000"/>
                <w:sz w:val="9"/>
              </w:rPr>
              <w:t>(5)</w:t>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1/27/2025</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16,544 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19,493 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(2,949)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3,000 ETH</w:t>
            </w:r>
            <w:r>
              <w:rPr>
                <w:rFonts w:ascii="Times New Roman;serif" w:hAnsi="Times New Roman;serif"/>
                <w:b w:val="false"/>
                <w:color w:val="000000"/>
                <w:sz w:val="9"/>
              </w:rPr>
              <w:t>(6)</w:t>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2/7/2025</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11,369 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(3,502)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5,280 ETH</w:t>
            </w:r>
            <w:r>
              <w:rPr>
                <w:rFonts w:ascii="Times New Roman;serif" w:hAnsi="Times New Roman;serif"/>
                <w:b w:val="false"/>
                <w:color w:val="000000"/>
                <w:sz w:val="9"/>
              </w:rPr>
              <w:t>(7)</w:t>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2/28/2025</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19,271 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(7,575)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3,400 ETH</w:t>
            </w:r>
            <w:r>
              <w:rPr>
                <w:rFonts w:ascii="Times New Roman;serif" w:hAnsi="Times New Roman;serif"/>
                <w:b w:val="false"/>
                <w:color w:val="000000"/>
                <w:sz w:val="9"/>
              </w:rPr>
              <w:t>(8)</w:t>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3/10/2025</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(2,079)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86 BTC</w:t>
            </w:r>
            <w:r>
              <w:rPr>
                <w:rFonts w:ascii="Times New Roman;serif" w:hAnsi="Times New Roman;serif"/>
                <w:b w:val="false"/>
                <w:color w:val="000000"/>
                <w:sz w:val="9"/>
              </w:rPr>
              <w:t>(9)</w:t>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3/11/2025</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7,130 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(1,740)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2,500 ETH</w:t>
            </w:r>
            <w:r>
              <w:rPr>
                <w:rFonts w:ascii="Times New Roman;serif" w:hAnsi="Times New Roman;serif"/>
                <w:b w:val="false"/>
                <w:color w:val="000000"/>
                <w:sz w:val="9"/>
              </w:rPr>
              <w:t>(10)</w:t>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3/28/2025</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(1,450)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10,000 ETH</w:t>
            </w:r>
            <w:r>
              <w:rPr>
                <w:rFonts w:ascii="Times New Roman;serif" w:hAnsi="Times New Roman;serif"/>
                <w:b w:val="false"/>
                <w:color w:val="000000"/>
                <w:sz w:val="9"/>
              </w:rPr>
              <w:t>(11)</w:t>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4/7/2025</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15,525 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24,756 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(9,231)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1,275 BTC</w:t>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7/24/2025</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150,959 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111,105 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39,854 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Total</w:t>
            </w:r>
          </w:p>
        </w:tc>
        <w:tc>
          <w:tcPr>
            <w:tcW w:w="51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560,107 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220,798 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410,549 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(257,266)</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402,501 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225,124 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24,197 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1,430 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__________________</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395 bitcoin ("BTC")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1,098 bitcoin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(3) 26,629 ether ("ETH")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(4) 217 bitcoin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(5) 5,200 ether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(6) 3,000 ether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(7) 5,280 ether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(8) 3,400 ether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(9) 86 bitcoin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(10) 2,500 ether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(11) 10,000 ether was repaid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(12) Prior year interest accrued of $2.1 million was paid during the year ended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(13) Outstanding interest balances payable to WCF are included in Related party loans on the consolidated balance sheets as of December 31,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(14) 4,619 bitcoin and 0 ether was outstanding as of the year ended December 31, 2025.</w:t>
            </w:r>
          </w:p>
        </w:tc>
      </w:tr>
    </w:tbl>
    <w:p>
      <w:pPr>
        <w:pStyle w:val="TextBody"/>
        <w:bidi w:val="0"/>
        <w:spacing w:lineRule="auto" w:line="288" w:before="0" w:after="0"/>
        <w:jc w:val="both"/>
        <w:rPr/>
      </w:pPr>
      <w:r>
        <w:rPr>
          <w:rFonts w:ascii="Times New Roman;serif" w:hAnsi="Times New Roman;serif"/>
          <w:b w:val="false"/>
          <w:color w:val="000000"/>
          <w:sz w:val="20"/>
        </w:rPr>
        <w:br/>
        <w:t xml:space="preserve">    During the year ended December 31, 2025, the Company entered into multiple additional lending agreements with WCF. The Company primarily uses the crypto assets obtained from these agreements as collateral for third party loans. Refer to </w:t>
      </w:r>
      <w:r>
        <w:rPr>
          <w:rFonts w:ascii="Times New Roman;serif" w:hAnsi="Times New Roman;serif"/>
          <w:b w:val="false"/>
          <w:i/>
          <w:color w:val="000000"/>
          <w:sz w:val="20"/>
        </w:rPr>
        <w:t>Note 14. Third Party Loans</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16840"/>
                <wp:effectExtent l="0" t="0" r="0" b="0"/>
                <wp:wrapNone/>
                <wp:docPr id="193" name="Frame1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183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Crypto asset loans as of December 31, 2024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9"/>
        <w:gridCol w:w="188"/>
        <w:gridCol w:w="189"/>
        <w:gridCol w:w="172"/>
        <w:gridCol w:w="172"/>
        <w:gridCol w:w="173"/>
        <w:gridCol w:w="241"/>
        <w:gridCol w:w="861"/>
        <w:gridCol w:w="145"/>
        <w:gridCol w:w="199"/>
        <w:gridCol w:w="629"/>
        <w:gridCol w:w="120"/>
        <w:gridCol w:w="188"/>
        <w:gridCol w:w="674"/>
        <w:gridCol w:w="113"/>
        <w:gridCol w:w="198"/>
        <w:gridCol w:w="721"/>
        <w:gridCol w:w="119"/>
        <w:gridCol w:w="241"/>
        <w:gridCol w:w="861"/>
        <w:gridCol w:w="145"/>
        <w:gridCol w:w="203"/>
        <w:gridCol w:w="742"/>
        <w:gridCol w:w="122"/>
        <w:gridCol w:w="216"/>
        <w:gridCol w:w="216"/>
        <w:gridCol w:w="217"/>
        <w:gridCol w:w="200"/>
        <w:gridCol w:w="631"/>
        <w:gridCol w:w="120"/>
        <w:gridCol w:w="200"/>
        <w:gridCol w:w="550"/>
        <w:gridCol w:w="190"/>
      </w:tblGrid>
      <w:tr>
        <w:trPr/>
        <w:tc>
          <w:tcPr>
            <w:tcW w:w="24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Loan</w:t>
            </w:r>
            <w:r>
              <w:rPr>
                <w:rFonts w:ascii="Times New Roman;serif" w:hAnsi="Times New Roman;serif"/>
                <w:b/>
                <w:color w:val="000000"/>
                <w:sz w:val="9"/>
              </w:rPr>
              <w:t>(6)</w:t>
            </w:r>
          </w:p>
        </w:tc>
        <w:tc>
          <w:tcPr>
            <w:tcW w:w="5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Draw Date</w:t>
            </w:r>
          </w:p>
        </w:tc>
        <w:tc>
          <w:tcPr>
            <w:tcW w:w="12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Principal Outstanding as of 12.31.23</w:t>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 Borrowed</w:t>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 Repaid</w:t>
            </w:r>
          </w:p>
        </w:tc>
        <w:tc>
          <w:tcPr>
            <w:tcW w:w="10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Realized Gain (Loss)</w:t>
            </w:r>
          </w:p>
        </w:tc>
        <w:tc>
          <w:tcPr>
            <w:tcW w:w="12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Principal Outstanding as of 12.31.24</w:t>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Unrealized Gain (Loss)</w:t>
            </w:r>
          </w:p>
        </w:tc>
        <w:tc>
          <w:tcPr>
            <w:tcW w:w="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Interest Rate</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 xml:space="preserve">Interest Expense </w:t>
            </w:r>
            <w:r>
              <w:rPr>
                <w:rFonts w:ascii="Times New Roman;serif" w:hAnsi="Times New Roman;serif"/>
                <w:b/>
                <w:color w:val="000000"/>
                <w:sz w:val="9"/>
              </w:rPr>
              <w:t>(4)</w:t>
            </w:r>
          </w:p>
        </w:tc>
        <w:tc>
          <w:tcPr>
            <w:tcW w:w="94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Interest Payable</w:t>
            </w:r>
            <w:r>
              <w:rPr>
                <w:rFonts w:ascii="Times New Roman;serif" w:hAnsi="Times New Roman;serif"/>
                <w:b/>
                <w:color w:val="000000"/>
                <w:sz w:val="9"/>
              </w:rPr>
              <w:t>(5)</w:t>
            </w:r>
          </w:p>
        </w:tc>
      </w:tr>
      <w:tr>
        <w:trPr/>
        <w:tc>
          <w:tcPr>
            <w:tcW w:w="6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5,000 BTC</w:t>
            </w:r>
            <w:r>
              <w:rPr>
                <w:rFonts w:ascii="Times New Roman;serif" w:hAnsi="Times New Roman;serif"/>
                <w:b w:val="false"/>
                <w:color w:val="000000"/>
                <w:sz w:val="9"/>
              </w:rPr>
              <w:t>(1)</w:t>
            </w:r>
          </w:p>
        </w:tc>
        <w:tc>
          <w:tcPr>
            <w:tcW w:w="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12/29/2022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211,948 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123,155 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(91,991)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290,929 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(110,146)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9,497 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1,037 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30,000 ETH</w:t>
            </w:r>
          </w:p>
        </w:tc>
        <w:tc>
          <w:tcPr>
            <w:tcW w:w="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12/29/2022</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20,669 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29,790 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(18,990)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9,868 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2,000 BTC</w:t>
            </w:r>
            <w:r>
              <w:rPr>
                <w:rFonts w:ascii="Times New Roman;serif" w:hAnsi="Times New Roman;serif"/>
                <w:b w:val="false"/>
                <w:color w:val="000000"/>
                <w:sz w:val="9"/>
              </w:rPr>
              <w:t>(2)</w:t>
            </w:r>
          </w:p>
        </w:tc>
        <w:tc>
          <w:tcPr>
            <w:tcW w:w="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3/1/2023</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84,779 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63,889 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(42,689)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102,516 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(38,938)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35,000 ETH</w:t>
            </w:r>
            <w:r>
              <w:rPr>
                <w:rFonts w:ascii="Times New Roman;serif" w:hAnsi="Times New Roman;serif"/>
                <w:b w:val="false"/>
                <w:color w:val="000000"/>
                <w:sz w:val="9"/>
              </w:rPr>
              <w:t>(3)</w:t>
            </w:r>
          </w:p>
        </w:tc>
        <w:tc>
          <w:tcPr>
            <w:tcW w:w="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3/1/2023</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80,378 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29,247 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(15,571)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88,234 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(21,532)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1,400 BTC</w:t>
            </w:r>
          </w:p>
        </w:tc>
        <w:tc>
          <w:tcPr>
            <w:tcW w:w="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5/24/2023</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4,239 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(3,553)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20,650 ETH</w:t>
            </w:r>
          </w:p>
        </w:tc>
        <w:tc>
          <w:tcPr>
            <w:tcW w:w="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5/24/2023</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24,802 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32,224 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(12,853)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500 BTC</w:t>
            </w:r>
          </w:p>
        </w:tc>
        <w:tc>
          <w:tcPr>
            <w:tcW w:w="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5/11/2023</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21,195 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46,683 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(25,488)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340 BTC</w:t>
            </w:r>
          </w:p>
        </w:tc>
        <w:tc>
          <w:tcPr>
            <w:tcW w:w="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10/31/2023</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14,412 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31,745 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(17,332)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5.0%</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240 BTC</w:t>
            </w:r>
          </w:p>
        </w:tc>
        <w:tc>
          <w:tcPr>
            <w:tcW w:w="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5/1/2024</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13,962 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16,286 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(2,324)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8.0%</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6,750 ETH</w:t>
            </w:r>
          </w:p>
        </w:tc>
        <w:tc>
          <w:tcPr>
            <w:tcW w:w="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5/1/2024</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19,765 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25,441 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(5,676)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8.0%</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250 BTC</w:t>
            </w:r>
          </w:p>
        </w:tc>
        <w:tc>
          <w:tcPr>
            <w:tcW w:w="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7/5/2024</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22,007 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(8,001)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5.0%</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4,150 ETH</w:t>
            </w:r>
          </w:p>
        </w:tc>
        <w:tc>
          <w:tcPr>
            <w:tcW w:w="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7/5/2024</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12,420 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13,473 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(1,054)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5.0%</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7,500 ETH</w:t>
            </w:r>
          </w:p>
        </w:tc>
        <w:tc>
          <w:tcPr>
            <w:tcW w:w="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8/5/2024</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17,663 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30,038 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(12,374)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5.0%</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235 BTC</w:t>
            </w:r>
          </w:p>
        </w:tc>
        <w:tc>
          <w:tcPr>
            <w:tcW w:w="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10/31/2024</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16,497 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22,230 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(5,733)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4.5%</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Total</w:t>
            </w:r>
          </w:p>
        </w:tc>
        <w:tc>
          <w:tcPr>
            <w:tcW w:w="51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462,422 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94,313 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413,962 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(220,809)</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560,107 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(196,526)</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21,099 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2,055 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__________________</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1,884 bitcoin was repaid during the year ended December 31, 2024.</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902 bitcoin was repaid during the year ended December 31, 2024.</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(3) 8,371 ether was repaid during the year ended December 31, 2024.</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(4) Prior year interest accrued of $1.6 million was paid during the year ended December 31, 2024.</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(5) Outstanding interest balances payable to WCF are included in Related party loans on the consolidated balance sheets as of December 31, 2024.</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(6) 5,054 bitcoin and 26,629 ether was outstanding as of the year ended December 31, 2024.</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29, 2022, the Company entered into an additional lending agreement for 5,000 bitcoin and an ether lending agreement for 30,000 ether to provide additional funding for its wholly owned subsidiaries. 21,000 of this ether was repaid to WCF during the year ended December 31, 2023. On August 3, 2023, the terms of the remaining 9,000 ether were modified and a new agreement was papered allowing the Company to sell the ether for proceeds of $16.5 million and contribute the proceeds to its wholly owned subsidiaries to finance its business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11, 2023 and October 31, 2023 the Company entered into agreements with WCF for 500 bitcoin and 340 bitcoin, respectively, for purposes of enabling subsidiaries of the Company to pledge bitcoin to the surety parties to satisfy the collateral requirements as part of the bond application process. The 500 bitcoin loan pledged 320 of the bitcoin as collateral to satisfy these collateral requirements.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During the years ended December 31, 2024 and 2023, the Company entered into multiple additional lending agreements with WCF. The Company primarily uses the crypto assets obtained from these agreements as collateral for third party loans. Refer to </w:t>
      </w:r>
      <w:r>
        <w:rPr>
          <w:rFonts w:ascii="Times New Roman;serif" w:hAnsi="Times New Roman;serif"/>
          <w:b w:val="false"/>
          <w:i/>
          <w:color w:val="000000"/>
          <w:sz w:val="20"/>
        </w:rPr>
        <w:t>Note 14. Third Party Loans</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Convertible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convertible notes previously entered into by the Company are summarized below (in thousands). The aggregate principal amount of these notes was used for general operating activities.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16840"/>
                <wp:effectExtent l="0" t="0" r="0" b="0"/>
                <wp:wrapNone/>
                <wp:docPr id="194" name="Frame1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184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Convertible notes as of December 31,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91"/>
        <w:gridCol w:w="257"/>
        <w:gridCol w:w="259"/>
        <w:gridCol w:w="158"/>
        <w:gridCol w:w="158"/>
        <w:gridCol w:w="159"/>
        <w:gridCol w:w="238"/>
        <w:gridCol w:w="238"/>
        <w:gridCol w:w="239"/>
        <w:gridCol w:w="195"/>
        <w:gridCol w:w="698"/>
        <w:gridCol w:w="117"/>
        <w:gridCol w:w="216"/>
        <w:gridCol w:w="772"/>
        <w:gridCol w:w="130"/>
        <w:gridCol w:w="196"/>
        <w:gridCol w:w="441"/>
        <w:gridCol w:w="118"/>
        <w:gridCol w:w="185"/>
        <w:gridCol w:w="584"/>
        <w:gridCol w:w="111"/>
        <w:gridCol w:w="421"/>
        <w:gridCol w:w="874"/>
        <w:gridCol w:w="254"/>
        <w:gridCol w:w="233"/>
        <w:gridCol w:w="851"/>
        <w:gridCol w:w="140"/>
        <w:gridCol w:w="185"/>
        <w:gridCol w:w="586"/>
        <w:gridCol w:w="111"/>
        <w:gridCol w:w="189"/>
        <w:gridCol w:w="424"/>
        <w:gridCol w:w="177"/>
      </w:tblGrid>
      <w:tr>
        <w:trPr/>
        <w:tc>
          <w:tcPr>
            <w:tcW w:w="2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Loan</w:t>
            </w:r>
            <w:r>
              <w:rPr>
                <w:rFonts w:ascii="Times New Roman;serif" w:hAnsi="Times New Roman;serif"/>
                <w:b/>
                <w:color w:val="000000"/>
                <w:sz w:val="9"/>
              </w:rPr>
              <w:t>(1)</w:t>
            </w:r>
          </w:p>
        </w:tc>
        <w:tc>
          <w:tcPr>
            <w:tcW w:w="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Draw Date</w:t>
            </w:r>
          </w:p>
        </w:tc>
        <w:tc>
          <w:tcPr>
            <w:tcW w:w="71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Maturity Date</w:t>
            </w:r>
            <w:r>
              <w:rPr>
                <w:rFonts w:ascii="Times New Roman;serif" w:hAnsi="Times New Roman;serif"/>
                <w:b/>
                <w:color w:val="000000"/>
                <w:sz w:val="9"/>
              </w:rPr>
              <w:t>(2)(3)</w:t>
            </w:r>
          </w:p>
        </w:tc>
        <w:tc>
          <w:tcPr>
            <w:tcW w:w="10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Aggregate Principal Amount</w:t>
            </w:r>
          </w:p>
        </w:tc>
        <w:tc>
          <w:tcPr>
            <w:tcW w:w="11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Fair value of Principal Outstanding as of 12.31.24</w:t>
            </w:r>
          </w:p>
        </w:tc>
        <w:tc>
          <w:tcPr>
            <w:tcW w:w="7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 Amounts Drawn</w:t>
            </w:r>
          </w:p>
        </w:tc>
        <w:tc>
          <w:tcPr>
            <w:tcW w:w="8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Unrealized Loss</w:t>
            </w:r>
          </w:p>
        </w:tc>
        <w:tc>
          <w:tcPr>
            <w:tcW w:w="15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Change in fair value attributable to instrument-specific credit risk</w:t>
            </w:r>
          </w:p>
        </w:tc>
        <w:tc>
          <w:tcPr>
            <w:tcW w:w="12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Conversion of convertible notes to common stock in connection with IPO</w:t>
            </w:r>
          </w:p>
        </w:tc>
        <w:tc>
          <w:tcPr>
            <w:tcW w:w="8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Interest Expense</w:t>
            </w:r>
          </w:p>
        </w:tc>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Interest Payable</w:t>
            </w:r>
          </w:p>
        </w:tc>
      </w:tr>
      <w:tr>
        <w:trPr/>
        <w:tc>
          <w:tcPr>
            <w:tcW w:w="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September Note (USD)</w:t>
            </w:r>
          </w:p>
        </w:tc>
        <w:tc>
          <w:tcPr>
            <w:tcW w:w="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9/15/2023</w:t>
            </w:r>
          </w:p>
        </w:tc>
        <w:tc>
          <w:tcPr>
            <w:tcW w:w="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6/1/2027</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57,641 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6,581 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(223)</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(72,279)</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2,827 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November Note (BTC)</w:t>
            </w:r>
          </w:p>
        </w:tc>
        <w:tc>
          <w:tcPr>
            <w:tcW w:w="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11/22/2023</w:t>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6/1/2027</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54,671 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63,027 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(240)</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(78,269)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December Note (USD)</w:t>
            </w:r>
          </w:p>
        </w:tc>
        <w:tc>
          <w:tcPr>
            <w:tcW w:w="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12/27/2023</w:t>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6/1/2027</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57,642 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(217)</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(70,804)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March Note (BTC)</w:t>
            </w:r>
          </w:p>
        </w:tc>
        <w:tc>
          <w:tcPr>
            <w:tcW w:w="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3/1/2024</w:t>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6/1/2027</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45,329 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52,257 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(195)</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(63,655)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47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200,000 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230,567 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25,789 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(875)</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(285,007)</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11,310 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__________________</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The effective interest rate for all convertible notes is 8.0%.</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The maturity date was extended on May 15,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(3) These loans were converted to equity in connection with the IPO on 9/15/2025.</w:t>
            </w:r>
          </w:p>
        </w:tc>
      </w:tr>
    </w:tbl>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Convertible notes as of December 31, 2024 (in thousands):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r>
    </w:p>
    <w:tbl>
      <w:tblPr>
        <w:tblW w:w="10205" w:type="dxa"/>
        <w:jc w:val="left"/>
        <w:tblInd w:w="0" w:type="dxa"/>
        <w:tblLayout w:type="fixed"/>
        <w:tblCellMar>
          <w:top w:w="28" w:type="dxa"/>
          <w:left w:w="28" w:type="dxa"/>
          <w:bottom w:w="28" w:type="dxa"/>
          <w:right w:w="28" w:type="dxa"/>
        </w:tblCellMar>
      </w:tblPr>
      <w:tblGrid>
        <w:gridCol w:w="317"/>
        <w:gridCol w:w="280"/>
        <w:gridCol w:w="282"/>
        <w:gridCol w:w="169"/>
        <w:gridCol w:w="169"/>
        <w:gridCol w:w="170"/>
        <w:gridCol w:w="243"/>
        <w:gridCol w:w="243"/>
        <w:gridCol w:w="244"/>
        <w:gridCol w:w="214"/>
        <w:gridCol w:w="765"/>
        <w:gridCol w:w="129"/>
        <w:gridCol w:w="261"/>
        <w:gridCol w:w="932"/>
        <w:gridCol w:w="157"/>
        <w:gridCol w:w="204"/>
        <w:gridCol w:w="644"/>
        <w:gridCol w:w="122"/>
        <w:gridCol w:w="190"/>
        <w:gridCol w:w="602"/>
        <w:gridCol w:w="114"/>
        <w:gridCol w:w="423"/>
        <w:gridCol w:w="1160"/>
        <w:gridCol w:w="256"/>
        <w:gridCol w:w="192"/>
        <w:gridCol w:w="605"/>
        <w:gridCol w:w="115"/>
        <w:gridCol w:w="197"/>
        <w:gridCol w:w="623"/>
        <w:gridCol w:w="183"/>
      </w:tblGrid>
      <w:tr>
        <w:trPr/>
        <w:tc>
          <w:tcPr>
            <w:tcW w:w="31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Loan</w:t>
            </w:r>
            <w:r>
              <w:rPr>
                <w:rFonts w:ascii="Times New Roman;serif" w:hAnsi="Times New Roman;serif"/>
                <w:b/>
                <w:color w:val="000000"/>
                <w:sz w:val="9"/>
              </w:rPr>
              <w:t>(1)</w:t>
            </w:r>
          </w:p>
        </w:tc>
        <w:tc>
          <w:tcPr>
            <w:tcW w:w="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Draw Date</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Maturity Date</w:t>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Aggregate Principal Amount</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of Principal Outstanding as of 12.31.23</w:t>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 Amounts Drawn</w:t>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Unrealized Loss</w:t>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 in fair value attributable to instrument-specific credit risk</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 Expense</w:t>
            </w:r>
          </w:p>
        </w:tc>
        <w:tc>
          <w:tcPr>
            <w:tcW w:w="10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Interest Payable</w:t>
            </w:r>
            <w:r>
              <w:rPr>
                <w:rFonts w:ascii="Times New Roman;serif" w:hAnsi="Times New Roman;serif"/>
                <w:b/>
                <w:color w:val="000000"/>
                <w:sz w:val="9"/>
              </w:rPr>
              <w:t>(3)(4)</w:t>
            </w:r>
          </w:p>
        </w:tc>
      </w:tr>
      <w:tr>
        <w:trPr/>
        <w:tc>
          <w:tcPr>
            <w:tcW w:w="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September Note (USD)</w:t>
            </w:r>
          </w:p>
        </w:tc>
        <w:tc>
          <w:tcPr>
            <w:tcW w:w="5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9/15/2023</w:t>
            </w:r>
          </w:p>
        </w:tc>
        <w:tc>
          <w:tcPr>
            <w:tcW w:w="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9/15/2025</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51,335 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1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5,450 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November Note (BTC)</w:t>
            </w:r>
          </w:p>
        </w:tc>
        <w:tc>
          <w:tcPr>
            <w:tcW w:w="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11/22/2023</w:t>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11/22/2025</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54,671 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56,131 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5,295 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December Note (USD)</w:t>
            </w:r>
          </w:p>
        </w:tc>
        <w:tc>
          <w:tcPr>
            <w:tcW w:w="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12/27/2023</w:t>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12/27/2025</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26,111 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24,568 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4,163 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March Note (BTC)</w:t>
            </w:r>
            <w:r>
              <w:rPr>
                <w:rFonts w:ascii="Times New Roman;serif" w:hAnsi="Times New Roman;serif"/>
                <w:b w:val="false"/>
                <w:color w:val="000000"/>
                <w:sz w:val="9"/>
              </w:rPr>
              <w:t>(2)</w:t>
            </w:r>
          </w:p>
        </w:tc>
        <w:tc>
          <w:tcPr>
            <w:tcW w:w="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3/1/2024</w:t>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3/1/2026</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45,329 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45,329 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3,308 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508"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200,000 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133,577 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69,897 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30,663 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(1,906)</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15,200 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18,216 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__________________</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The effective interest rate for all convertible notes is 8.0%.</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The $45.3 million drawdown is denominated in USD but was received as 734 BTC. The 734 BTC is reported in Crypto assets held on the consolidated balance sheets with a fair value of $68.6 million as of December 31, 2024.</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(3) Outstanding interest balances payable to WCF are included in Related party convertible notes on the consolidated balance sheets as of December 31, 2024.</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(4) Includes $1.6 million of fair value adjustments consisting of a $1.7 million unrealized loss and a $0.1 million gain related to change in fair value related to instrument-specific credit risk.</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period from September 2023 through March 2024, the Company entered into a series of convertible note agreements with WCF (collectively, the “Convertible Notes”) pursuant to which the Company borrowed an aggregate principal amount of approximately $200 million, which was used for general operating purposes. The Convertible Notes were general unsecured obligations of the Company, accrued interest at a rate of 8.0%, per annum and were subordinate in right of payment to all existing and future borrowings owed by the Company and its affiliates to WCF, including borrowings denominated in BTC and ETH.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Convertible Notes provided for conversion into equity upon the occurrence of certain financing, change-in-control, or public company events, generally at a price equal to 80% of the price paid by other investors in the applicable transaction. In connection with qualifying or non-qualifying financing events, the Convertible Notes were convertible into preferred units at the election of the holder or automatically upon meeting specified thresholds. Following maturity, the holder also had the right to convert outstanding principal and accrued interest into preferred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16840"/>
                <wp:effectExtent l="0" t="0" r="0" b="0"/>
                <wp:wrapNone/>
                <wp:docPr id="195" name="Frame1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185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 Upon a change in control or public company event, the Convertible Notes were automatically converted into equity or settled in cash or equity at the holder’s election, based on the applicable transaction price.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Company's IPO in September 2025, approximately $285 million in principal amount (plus accrued and unpaid interest thereon) and other adjustments under the Convertible Notes outstanding automatically converted into 10.2 million shares of Class B common stock, pursuant to the terms at a price per share equal to $22.40, or 80% of the IPO price of $28.00 per share.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Term loan</w:t>
        <w:br/>
        <w:br/>
        <w:t>    </w:t>
      </w:r>
      <w:r>
        <w:rPr>
          <w:rFonts w:ascii="Times New Roman;serif" w:hAnsi="Times New Roman;serif"/>
          <w:b w:val="false"/>
          <w:color w:val="000000"/>
          <w:sz w:val="20"/>
        </w:rPr>
        <w:t>The term loans previously entered into by the Company are summarized below (in thousands). The aggregate principal amount was used for general business purposes of the Company and its wholly owned subsidiaries.</w:t>
      </w:r>
    </w:p>
    <w:p>
      <w:pPr>
        <w:pStyle w:val="TextBody"/>
        <w:bidi w:val="0"/>
        <w:spacing w:lineRule="auto" w:line="288" w:before="0" w:after="0"/>
        <w:jc w:val="both"/>
        <w:rPr/>
      </w:pPr>
      <w:r>
        <w:rPr>
          <w:rFonts w:ascii="Times New Roman;serif" w:hAnsi="Times New Roman;serif"/>
          <w:b w:val="false"/>
          <w:color w:val="000000"/>
          <w:sz w:val="20"/>
        </w:rPr>
        <w:br/>
        <w:t>    </w:t>
      </w:r>
      <w:r>
        <w:rPr>
          <w:rFonts w:ascii="Times New Roman;serif" w:hAnsi="Times New Roman;serif"/>
          <w:b w:val="false"/>
          <w:i/>
          <w:color w:val="000000"/>
          <w:sz w:val="20"/>
        </w:rPr>
        <w:t>Term Loans as of December 31, 2025 (in thousands):</w:t>
      </w:r>
    </w:p>
    <w:tbl>
      <w:tblPr>
        <w:tblW w:w="10205" w:type="dxa"/>
        <w:jc w:val="left"/>
        <w:tblInd w:w="0" w:type="dxa"/>
        <w:tblLayout w:type="fixed"/>
        <w:tblCellMar>
          <w:top w:w="28" w:type="dxa"/>
          <w:left w:w="28" w:type="dxa"/>
          <w:bottom w:w="28" w:type="dxa"/>
          <w:right w:w="28" w:type="dxa"/>
        </w:tblCellMar>
      </w:tblPr>
      <w:tblGrid>
        <w:gridCol w:w="196"/>
        <w:gridCol w:w="173"/>
        <w:gridCol w:w="174"/>
        <w:gridCol w:w="158"/>
        <w:gridCol w:w="158"/>
        <w:gridCol w:w="159"/>
        <w:gridCol w:w="235"/>
        <w:gridCol w:w="235"/>
        <w:gridCol w:w="236"/>
        <w:gridCol w:w="195"/>
        <w:gridCol w:w="698"/>
        <w:gridCol w:w="117"/>
        <w:gridCol w:w="216"/>
        <w:gridCol w:w="773"/>
        <w:gridCol w:w="130"/>
        <w:gridCol w:w="190"/>
        <w:gridCol w:w="681"/>
        <w:gridCol w:w="114"/>
        <w:gridCol w:w="183"/>
        <w:gridCol w:w="653"/>
        <w:gridCol w:w="110"/>
        <w:gridCol w:w="357"/>
        <w:gridCol w:w="978"/>
        <w:gridCol w:w="216"/>
        <w:gridCol w:w="228"/>
        <w:gridCol w:w="831"/>
        <w:gridCol w:w="137"/>
        <w:gridCol w:w="185"/>
        <w:gridCol w:w="586"/>
        <w:gridCol w:w="111"/>
        <w:gridCol w:w="189"/>
        <w:gridCol w:w="424"/>
        <w:gridCol w:w="179"/>
      </w:tblGrid>
      <w:tr>
        <w:trPr/>
        <w:tc>
          <w:tcPr>
            <w:tcW w:w="19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Loan</w:t>
            </w:r>
            <w:r>
              <w:rPr>
                <w:rFonts w:ascii="Times New Roman;serif" w:hAnsi="Times New Roman;serif"/>
                <w:b/>
                <w:color w:val="000000"/>
                <w:sz w:val="9"/>
              </w:rPr>
              <w:t>(1)(2)</w:t>
            </w:r>
          </w:p>
        </w:tc>
        <w:tc>
          <w:tcPr>
            <w:tcW w:w="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Draw Date</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Maturity Date</w:t>
            </w:r>
            <w:r>
              <w:rPr>
                <w:rFonts w:ascii="Times New Roman;serif" w:hAnsi="Times New Roman;serif"/>
                <w:b/>
                <w:color w:val="000000"/>
                <w:sz w:val="9"/>
              </w:rPr>
              <w:t>(3)</w:t>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Aggregate Principal Amount</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Fair value of Principal Outstanding as of 12.31.24</w:t>
            </w:r>
          </w:p>
        </w:tc>
        <w:tc>
          <w:tcPr>
            <w:tcW w:w="9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2025 Amounts Drawn</w:t>
            </w:r>
            <w:r>
              <w:rPr>
                <w:rFonts w:ascii="Times New Roman;serif" w:hAnsi="Times New Roman;serif"/>
                <w:b/>
                <w:color w:val="000000"/>
                <w:sz w:val="9"/>
              </w:rPr>
              <w:t>(4)</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Unrealized loss</w:t>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 in fair value attributable to instrument-specific credit risk</w:t>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Conversion of term loans to common stock in connection with IPO</w:t>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 Expense</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 Payable</w:t>
            </w:r>
          </w:p>
        </w:tc>
      </w:tr>
      <w:tr>
        <w:trPr/>
        <w:tc>
          <w:tcPr>
            <w:tcW w:w="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2024 Term Loan</w:t>
            </w:r>
          </w:p>
        </w:tc>
        <w:tc>
          <w:tcPr>
            <w:tcW w:w="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5/16/2024</w:t>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6/1/2027</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230,704 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44,296 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76,424 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(2,594)</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(369,146)</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13,811 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2025 Term Loan</w:t>
            </w:r>
          </w:p>
        </w:tc>
        <w:tc>
          <w:tcPr>
            <w:tcW w:w="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1/23/2025</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6/1/2027</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168,462 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42,885 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(215,414)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47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475,000 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230,704 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212,758 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119,309 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(2,396)</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(584,560)</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17,680 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__________________</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The term loans are stated at an interest rate of no less than 4.0% and no greater than 16.0%. As of December 31, 2025 the blended interest rates were 6.9% and 7.3% for the 2024 and 2025 Term Loans, respectively.</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On January 23, 2025, the 2024 Term Loan was amended such that upon a public company event it will be automatically converted into Common Units in the Company.</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(3) The maturity date was extended on May 15, 2025.</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(4) The $443.5 million principal outstanding is denominated in USD but was received as 4,841 BTC, 9,000 ETH, and $26.9 million. These loans were converted into equity in connection with the IPO on 9/15/2025.</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Term Loans as of December 31, 2024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01"/>
        <w:gridCol w:w="265"/>
        <w:gridCol w:w="268"/>
        <w:gridCol w:w="220"/>
        <w:gridCol w:w="220"/>
        <w:gridCol w:w="222"/>
        <w:gridCol w:w="309"/>
        <w:gridCol w:w="309"/>
        <w:gridCol w:w="310"/>
        <w:gridCol w:w="291"/>
        <w:gridCol w:w="1041"/>
        <w:gridCol w:w="175"/>
        <w:gridCol w:w="250"/>
        <w:gridCol w:w="893"/>
        <w:gridCol w:w="150"/>
        <w:gridCol w:w="259"/>
        <w:gridCol w:w="582"/>
        <w:gridCol w:w="156"/>
        <w:gridCol w:w="334"/>
        <w:gridCol w:w="1194"/>
        <w:gridCol w:w="201"/>
        <w:gridCol w:w="248"/>
        <w:gridCol w:w="682"/>
        <w:gridCol w:w="149"/>
        <w:gridCol w:w="253"/>
        <w:gridCol w:w="694"/>
        <w:gridCol w:w="229"/>
      </w:tblGrid>
      <w:tr>
        <w:trPr/>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Loan</w:t>
            </w:r>
            <w:r>
              <w:rPr>
                <w:rFonts w:ascii="Times New Roman;serif" w:hAnsi="Times New Roman;serif"/>
                <w:b/>
                <w:color w:val="000000"/>
                <w:sz w:val="9"/>
              </w:rPr>
              <w:t>(1)</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Draw Date</w:t>
            </w:r>
          </w:p>
        </w:tc>
        <w:tc>
          <w:tcPr>
            <w:tcW w:w="9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Maturity Date</w:t>
            </w:r>
          </w:p>
        </w:tc>
        <w:tc>
          <w:tcPr>
            <w:tcW w:w="15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Aggregate Principal Amount</w:t>
            </w:r>
          </w:p>
        </w:tc>
        <w:tc>
          <w:tcPr>
            <w:tcW w:w="129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Amount Borrowed</w:t>
            </w:r>
            <w:r>
              <w:rPr>
                <w:rFonts w:ascii="Times New Roman;serif" w:hAnsi="Times New Roman;serif"/>
                <w:b/>
                <w:color w:val="000000"/>
                <w:sz w:val="9"/>
              </w:rPr>
              <w:t>(2)</w:t>
            </w:r>
          </w:p>
        </w:tc>
        <w:tc>
          <w:tcPr>
            <w:tcW w:w="9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 Repaid</w:t>
            </w:r>
          </w:p>
        </w:tc>
        <w:tc>
          <w:tcPr>
            <w:tcW w:w="1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Principal Outstanding as of 12.31.24</w:t>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Interest Expense</w:t>
            </w:r>
          </w:p>
        </w:tc>
        <w:tc>
          <w:tcPr>
            <w:tcW w:w="117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Interest Payable</w:t>
            </w:r>
            <w:r>
              <w:rPr>
                <w:rFonts w:ascii="Times New Roman;serif" w:hAnsi="Times New Roman;serif"/>
                <w:b/>
                <w:color w:val="000000"/>
                <w:sz w:val="9"/>
              </w:rPr>
              <w:t>(3)</w:t>
            </w:r>
          </w:p>
        </w:tc>
      </w:tr>
      <w:tr>
        <w:trPr/>
        <w:tc>
          <w:tcPr>
            <w:tcW w:w="83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2024 Term Loan</w:t>
            </w:r>
          </w:p>
        </w:tc>
        <w:tc>
          <w:tcPr>
            <w:tcW w:w="66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5/16/2024</w:t>
            </w:r>
          </w:p>
        </w:tc>
        <w:tc>
          <w:tcPr>
            <w:tcW w:w="92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3/1/2026</w:t>
            </w:r>
          </w:p>
        </w:tc>
        <w:tc>
          <w:tcPr>
            <w:tcW w:w="2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275,000 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230,704 </w:t>
            </w:r>
          </w:p>
        </w:tc>
        <w:tc>
          <w:tcPr>
            <w:tcW w:w="1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1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230,704 </w:t>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6,505 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6,505 </w:t>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_______________________</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The term loan is stated at an interest rate of no less than 4.0% and no greater than 16.0%. As of December 31, 2024 the blended interest rate was 6.8%.</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The $230.7 million principal outstanding is denominated in USD but was received as 2,834 BTC, 9,000 ETH, and $11.8 million, of which, 1,234 BTC, 9,000 ETH, and $11.8 million were used during the year for general business purposes. The remaining 1,600 BTC is reported in Crypto assets held on the consolidated balance sheets with a fair value of $149.4 million as of December 31, 2024.</w:t>
            </w:r>
          </w:p>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(3) Outstanding interest balances payable to WCF are included in Related party loans on the consolidated balance sheets as of December 31, 2024.</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16, 2024, Gemini entered into a term loan agreement with WCF (the “2024 Term Loan”), for a U.S. dollar denominated principal amount of up to $275.0 million to be funded in bitcoin, ether, or such other cryptocurrency at an interest rate of no less than 4.0% and no greater than 16.0% per annum with an initial maturity date of March 1, 2026. </w:t>
        <w:br/>
        <w:br/>
        <w:t xml:space="preserve">    On January 23, 2025, Gemini entered into a term loan agreement with WCF (the “2025 Term Loan”), to make loan requests from time to time of a U.S. dollar denominated principal amount of up to $200.0 million to be funded in bitcoin, ether, or such other cryptocurrency at an interest rate of no less than 4.0% and no greater than 16.0% per annum with an initial maturity date of March 1, 2026. Upon a public company event, the 2025 Term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16840"/>
                <wp:effectExtent l="0" t="0" r="0" b="0"/>
                <wp:wrapNone/>
                <wp:docPr id="196" name="Frame1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186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including principal and interest would be automatically converted immediately prior to such public company event into common units in the Company at a price per unit equal to eighty percent (80%) of the price per common unit implied in the public company event.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23, 2025, the 2024 Term Loan was amended such that upon a public company event, the 2024 Term Loan including principal and interest would be automatically converted immediately prior to such public company event into common units in the Company at a price per unit equal to eighty percent (80%) of the price per common unit implied in the public company event.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    On May 15, 2025, WCF exercised its rights under the 2024 Term Loan and 2025 Term Loan (collectively the “Term Loans”) to extend the maturity date to June 1, 2027.</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in September 2025, approximately $585 million in principal amount (plus accrued and unpaid interest thereon) and other adjustments under our related party term loans outstanding automatically converted into 20.9 million shares of Class B common stock, pursuant to the terms at a price per share equal to $22.40, or 80% of the IPO price of $28.00 per share.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14. Third Party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Galaxy Digital LLC (“Galaxy”) Loans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entered into several loan agreements with Galaxy, a single unrelated third party as outlined in the table found below. The aggregate principal amount of these agreements was used for general operating activities.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Third party loans with Galaxy as of December 31,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4"/>
        <w:gridCol w:w="197"/>
        <w:gridCol w:w="199"/>
        <w:gridCol w:w="241"/>
        <w:gridCol w:w="241"/>
        <w:gridCol w:w="242"/>
        <w:gridCol w:w="350"/>
        <w:gridCol w:w="336"/>
        <w:gridCol w:w="337"/>
        <w:gridCol w:w="404"/>
        <w:gridCol w:w="840"/>
        <w:gridCol w:w="227"/>
        <w:gridCol w:w="306"/>
        <w:gridCol w:w="306"/>
        <w:gridCol w:w="307"/>
        <w:gridCol w:w="244"/>
        <w:gridCol w:w="806"/>
        <w:gridCol w:w="136"/>
        <w:gridCol w:w="289"/>
        <w:gridCol w:w="600"/>
        <w:gridCol w:w="161"/>
        <w:gridCol w:w="361"/>
        <w:gridCol w:w="361"/>
        <w:gridCol w:w="363"/>
        <w:gridCol w:w="619"/>
        <w:gridCol w:w="619"/>
        <w:gridCol w:w="889"/>
      </w:tblGrid>
      <w:tr>
        <w:trPr/>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Loan</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Loan Date</w:t>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Outstanding</w:t>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Expense</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Interest Payable</w:t>
            </w:r>
          </w:p>
        </w:tc>
        <w:tc>
          <w:tcPr>
            <w:tcW w:w="1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Collateral Type</w:t>
            </w:r>
          </w:p>
        </w:tc>
        <w:tc>
          <w:tcPr>
            <w:tcW w:w="21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Collateral Rate (Initial Collateral Level)</w:t>
            </w:r>
          </w:p>
        </w:tc>
      </w:tr>
      <w:tr>
        <w:trPr/>
        <w:tc>
          <w:tcPr>
            <w:tcW w:w="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 13</w:t>
            </w:r>
          </w:p>
        </w:tc>
        <w:tc>
          <w:tcPr>
            <w:tcW w:w="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5/29/2024</w:t>
            </w:r>
          </w:p>
        </w:tc>
        <w:tc>
          <w:tcPr>
            <w:tcW w:w="10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Evergreen</w:t>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11.0%</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BTC</w:t>
            </w:r>
          </w:p>
        </w:tc>
        <w:tc>
          <w:tcPr>
            <w:tcW w:w="2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145%</w:t>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14</w:t>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5/29/2024</w:t>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Evergreen</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11.0%</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5,806 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ETH</w:t>
            </w:r>
          </w:p>
        </w:tc>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155%</w:t>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15</w:t>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11/1/2024</w:t>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Evergreen</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12.0%</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BTC</w:t>
            </w:r>
          </w:p>
        </w:tc>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145%</w:t>
            </w:r>
          </w:p>
        </w:tc>
      </w:tr>
      <w:tr>
        <w:trPr/>
        <w:tc>
          <w:tcPr>
            <w:tcW w:w="6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72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8, 2025, the Company repaid the $116.5 million outstanding under its lending agreement with Galaxy using proceeds from its initial public offering, and all BTC and ETH collateral previously pledged was returned to the Company. The agreement remained in effect through December 15, 2025 solely to satisfy a contractual notice period and was fully settled as of December 31, 2025.</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16840"/>
                <wp:effectExtent l="0" t="0" r="0" b="0"/>
                <wp:wrapNone/>
                <wp:docPr id="197" name="Frame1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187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Third party loans with Galaxy as of December 31, 2024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57"/>
        <w:gridCol w:w="217"/>
        <w:gridCol w:w="218"/>
        <w:gridCol w:w="229"/>
        <w:gridCol w:w="229"/>
        <w:gridCol w:w="230"/>
        <w:gridCol w:w="381"/>
        <w:gridCol w:w="336"/>
        <w:gridCol w:w="337"/>
        <w:gridCol w:w="268"/>
        <w:gridCol w:w="1008"/>
        <w:gridCol w:w="149"/>
        <w:gridCol w:w="296"/>
        <w:gridCol w:w="296"/>
        <w:gridCol w:w="298"/>
        <w:gridCol w:w="247"/>
        <w:gridCol w:w="815"/>
        <w:gridCol w:w="137"/>
        <w:gridCol w:w="268"/>
        <w:gridCol w:w="761"/>
        <w:gridCol w:w="149"/>
        <w:gridCol w:w="388"/>
        <w:gridCol w:w="388"/>
        <w:gridCol w:w="390"/>
        <w:gridCol w:w="555"/>
        <w:gridCol w:w="555"/>
        <w:gridCol w:w="803"/>
      </w:tblGrid>
      <w:tr>
        <w:trPr/>
        <w:tc>
          <w:tcPr>
            <w:tcW w:w="25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w:t>
            </w:r>
          </w:p>
        </w:tc>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Date</w:t>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Outstanding</w:t>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w:t>
            </w:r>
          </w:p>
        </w:tc>
        <w:tc>
          <w:tcPr>
            <w:tcW w:w="117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Interest Payable</w:t>
            </w:r>
            <w:r>
              <w:rPr>
                <w:rFonts w:ascii="Times New Roman;serif" w:hAnsi="Times New Roman;serif"/>
                <w:b/>
                <w:color w:val="000000"/>
                <w:sz w:val="10"/>
              </w:rPr>
              <w:t>(9)</w:t>
            </w:r>
          </w:p>
        </w:tc>
        <w:tc>
          <w:tcPr>
            <w:tcW w:w="116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Collateral Type</w:t>
            </w:r>
            <w:r>
              <w:rPr>
                <w:rFonts w:ascii="Times New Roman;serif" w:hAnsi="Times New Roman;serif"/>
                <w:b/>
                <w:color w:val="000000"/>
                <w:sz w:val="10"/>
              </w:rPr>
              <w:t>(10)</w:t>
            </w:r>
          </w:p>
        </w:tc>
        <w:tc>
          <w:tcPr>
            <w:tcW w:w="191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Collateral Rate (Initial Collateral Level)</w:t>
            </w:r>
            <w:r>
              <w:rPr>
                <w:rFonts w:ascii="Times New Roman;serif" w:hAnsi="Times New Roman;serif"/>
                <w:b/>
                <w:color w:val="000000"/>
                <w:sz w:val="10"/>
              </w:rPr>
              <w:t>(11)</w:t>
            </w:r>
          </w:p>
        </w:tc>
      </w:tr>
      <w:tr>
        <w:trPr/>
        <w:tc>
          <w:tcPr>
            <w:tcW w:w="6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1</w:t>
            </w:r>
          </w:p>
        </w:tc>
        <w:tc>
          <w:tcPr>
            <w:tcW w:w="6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3/2/2023</w:t>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3/5/2024</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ETH</w:t>
            </w:r>
          </w:p>
        </w:tc>
        <w:tc>
          <w:tcPr>
            <w:tcW w:w="1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160%</w:t>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2</w:t>
            </w:r>
          </w:p>
        </w:tc>
        <w:tc>
          <w:tcPr>
            <w:tcW w:w="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3/2/2023</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3/5/2024</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BTC</w:t>
            </w:r>
          </w:p>
        </w:tc>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w:t>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3</w:t>
            </w:r>
          </w:p>
        </w:tc>
        <w:tc>
          <w:tcPr>
            <w:tcW w:w="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4/27/2023</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3/5/2024</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ETH</w:t>
            </w:r>
          </w:p>
        </w:tc>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160%</w:t>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4</w:t>
            </w:r>
          </w:p>
        </w:tc>
        <w:tc>
          <w:tcPr>
            <w:tcW w:w="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4/27/2023</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3/5/2024</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BTC</w:t>
            </w:r>
          </w:p>
        </w:tc>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w:t>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5</w:t>
            </w:r>
          </w:p>
        </w:tc>
        <w:tc>
          <w:tcPr>
            <w:tcW w:w="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5/24/2023</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3/5/2024</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ETH</w:t>
            </w:r>
          </w:p>
        </w:tc>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160%</w:t>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6</w:t>
            </w:r>
          </w:p>
        </w:tc>
        <w:tc>
          <w:tcPr>
            <w:tcW w:w="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5/24/2023</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3/5/2024</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BTC</w:t>
            </w:r>
          </w:p>
        </w:tc>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w:t>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Loan 7</w:t>
            </w:r>
            <w:r>
              <w:rPr>
                <w:rFonts w:ascii="Times New Roman;serif" w:hAnsi="Times New Roman;serif"/>
                <w:b w:val="false"/>
                <w:color w:val="000000"/>
                <w:sz w:val="10"/>
              </w:rPr>
              <w:t>(1)</w:t>
            </w:r>
          </w:p>
        </w:tc>
        <w:tc>
          <w:tcPr>
            <w:tcW w:w="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3/4/2024</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3/31/2024</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ETH</w:t>
            </w:r>
          </w:p>
        </w:tc>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160%</w:t>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Loan 8</w:t>
            </w:r>
            <w:r>
              <w:rPr>
                <w:rFonts w:ascii="Times New Roman;serif" w:hAnsi="Times New Roman;serif"/>
                <w:b w:val="false"/>
                <w:color w:val="000000"/>
                <w:sz w:val="10"/>
              </w:rPr>
              <w:t>(2)</w:t>
            </w:r>
          </w:p>
        </w:tc>
        <w:tc>
          <w:tcPr>
            <w:tcW w:w="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3/4/2024</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Evergreen</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BTC</w:t>
            </w:r>
          </w:p>
        </w:tc>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145%</w:t>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Loan 9</w:t>
            </w:r>
            <w:r>
              <w:rPr>
                <w:rFonts w:ascii="Times New Roman;serif" w:hAnsi="Times New Roman;serif"/>
                <w:b w:val="false"/>
                <w:color w:val="000000"/>
                <w:sz w:val="10"/>
              </w:rPr>
              <w:t>(3)</w:t>
            </w:r>
          </w:p>
        </w:tc>
        <w:tc>
          <w:tcPr>
            <w:tcW w:w="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3/4/2024</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Evergreen</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ETH</w:t>
            </w:r>
          </w:p>
        </w:tc>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155%</w:t>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Loan 10</w:t>
            </w:r>
            <w:r>
              <w:rPr>
                <w:rFonts w:ascii="Times New Roman;serif" w:hAnsi="Times New Roman;serif"/>
                <w:b w:val="false"/>
                <w:color w:val="000000"/>
                <w:sz w:val="10"/>
              </w:rPr>
              <w:t>(4)</w:t>
            </w:r>
          </w:p>
        </w:tc>
        <w:tc>
          <w:tcPr>
            <w:tcW w:w="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3/28/2024</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5/31/2024</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ETH</w:t>
            </w:r>
          </w:p>
        </w:tc>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160%</w:t>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Loan 11</w:t>
            </w:r>
            <w:r>
              <w:rPr>
                <w:rFonts w:ascii="Times New Roman;serif" w:hAnsi="Times New Roman;serif"/>
                <w:b w:val="false"/>
                <w:color w:val="000000"/>
                <w:sz w:val="10"/>
              </w:rPr>
              <w:t>(5)</w:t>
            </w:r>
          </w:p>
        </w:tc>
        <w:tc>
          <w:tcPr>
            <w:tcW w:w="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3/28/2024</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Evergreen</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BTC</w:t>
            </w:r>
          </w:p>
        </w:tc>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145%</w:t>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Loan 12</w:t>
            </w:r>
            <w:r>
              <w:rPr>
                <w:rFonts w:ascii="Times New Roman;serif" w:hAnsi="Times New Roman;serif"/>
                <w:b w:val="false"/>
                <w:color w:val="000000"/>
                <w:sz w:val="10"/>
              </w:rPr>
              <w:t>(6)</w:t>
            </w:r>
          </w:p>
        </w:tc>
        <w:tc>
          <w:tcPr>
            <w:tcW w:w="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3/28/2024</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Evergreen</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ETH</w:t>
            </w:r>
          </w:p>
        </w:tc>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155%</w:t>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Loan 13</w:t>
            </w:r>
            <w:r>
              <w:rPr>
                <w:rFonts w:ascii="Times New Roman;serif" w:hAnsi="Times New Roman;serif"/>
                <w:b w:val="false"/>
                <w:color w:val="000000"/>
                <w:sz w:val="10"/>
              </w:rPr>
              <w:t>(7)</w:t>
            </w:r>
          </w:p>
        </w:tc>
        <w:tc>
          <w:tcPr>
            <w:tcW w:w="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5/29/2024</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Evergreen</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51,900 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3,410 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BTC</w:t>
            </w:r>
          </w:p>
        </w:tc>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145%</w:t>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Loan 14</w:t>
            </w:r>
            <w:r>
              <w:rPr>
                <w:rFonts w:ascii="Times New Roman;serif" w:hAnsi="Times New Roman;serif"/>
                <w:b w:val="false"/>
                <w:color w:val="000000"/>
                <w:sz w:val="10"/>
              </w:rPr>
              <w:t>(8)</w:t>
            </w:r>
          </w:p>
        </w:tc>
        <w:tc>
          <w:tcPr>
            <w:tcW w:w="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5/29/2024</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Evergreen</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54,600 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3,570 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ETH</w:t>
            </w:r>
          </w:p>
        </w:tc>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155%</w:t>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15</w:t>
            </w:r>
          </w:p>
        </w:tc>
        <w:tc>
          <w:tcPr>
            <w:tcW w:w="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11/1/2024</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Evergreen</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12.0%</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BTC</w:t>
            </w:r>
          </w:p>
        </w:tc>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145%</w:t>
            </w:r>
          </w:p>
        </w:tc>
      </w:tr>
      <w:tr>
        <w:trPr/>
        <w:tc>
          <w:tcPr>
            <w:tcW w:w="6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68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116,500 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12,198 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1,112 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(1) On March 4, 2024 an amended agreement was executed that restated loan 3 and loan 5 into loan 7. All of the terms and conditions are the same with the exception of the maturity date being extended to March 31, 2024.</w:t>
            </w:r>
          </w:p>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(2) On March 4, 2024 an amended agreement was executed that restated loan 2, loan 4, and loan 6 into loan 8. All of the terms and conditions are the same with the exception of the maturity date being extended to Evergreen terms.</w:t>
            </w:r>
          </w:p>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(3) On March 4, 2024 an amended agreement was executed that restated loan 1 into loan 9. All of the terms and conditions are the same with the exception of the maturity date being extended to Evergreen terms.</w:t>
            </w:r>
          </w:p>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(4) On March 28, 2024 an amended agreement was executed that restated loan 7 into loan 10. All of the terms and conditions are the same with the exception of the maturity date being extended to May 31, 2024.</w:t>
            </w:r>
          </w:p>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(5) On March 28, 2024 an amended agreement was executed that restated loan 8 into loan 11. All of the terms and conditions are the same.</w:t>
            </w:r>
          </w:p>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(6) On March 28, 2024 an amended agreement was executed that restated loan 9 into loan 12. All of the terms and conditions are the same.</w:t>
            </w:r>
          </w:p>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(7) On May 29, 2024 an amended agreement was executed that restated loan 11 into loan 13. All of the terms and conditions are the same.</w:t>
            </w:r>
          </w:p>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(8) On May 29, 2024 an amended agreement was executed that aggregated the principal of loan 10 with loan 12 and restated them into loan 14. All of the terms and conditions are the same with the exception of loan 10's collateral rate, interest rate, and maturity date being updated to mirror the terms of loan 12.</w:t>
            </w:r>
          </w:p>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(9) Outstanding interest balances payable to a third party are included in Third party loans on the consolidated balance sheets as of December 31, 2024.</w:t>
            </w:r>
          </w:p>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(10) As of December 31, 2024, the Company has pledged 929 bitcoin and 24,625 ether included in Receivable, crypto assets pledged on the consolidated balance sheets. Total collateral associated with these loans as of December 31, 2024 was approximately $86.7 million, or 140%, for BTC loans; and $81.6 million, or 149%, for ETH loans.</w:t>
            </w:r>
          </w:p>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(11) If the notional value of crypto assets pledged falls 10% from the initial collateral level there will be a margin call and additional crypto will need to be pledged to reset the collateral balance to the initial collateral level.</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New York Digital Investment Group Funding LLC (“NYDIG” ) Repurchase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25, 2025, the Company entered into a $75.0 million repurchase agreement with NYDIG to facilitate a structured crypto asset financing arrangement involving bitcoin. At inception, pursuant to the agreement, the Company transferred 1,078 BTC with a nominal value of $125.25 million to NYDIG in exchange for cash proceeds of $75.0 million (the “Purchase Price”) and agreed to repurchase the same amount of BTC on June 30, 2026 at the Purchase Price plus an agreed annual interest rate of 8.50%. The agreement requires the Company to maintain additional collateral coverage within specified thresholds and permits the Company to satisfy margin requirements through the transfer of additional BTC or cash and cash equivalents, such that the value of the collateral held by NYDIG in relation to the sale and repurchase agreement is maintained between 143% and 200% of the $75.0 million Purchase Price.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16840"/>
                <wp:effectExtent l="0" t="0" r="0" b="0"/>
                <wp:wrapNone/>
                <wp:docPr id="198" name="Frame1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188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Repurchase agreement as of December 31,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84"/>
        <w:gridCol w:w="250"/>
        <w:gridCol w:w="254"/>
        <w:gridCol w:w="226"/>
        <w:gridCol w:w="226"/>
        <w:gridCol w:w="227"/>
        <w:gridCol w:w="339"/>
        <w:gridCol w:w="339"/>
        <w:gridCol w:w="341"/>
        <w:gridCol w:w="286"/>
        <w:gridCol w:w="946"/>
        <w:gridCol w:w="160"/>
        <w:gridCol w:w="293"/>
        <w:gridCol w:w="293"/>
        <w:gridCol w:w="293"/>
        <w:gridCol w:w="298"/>
        <w:gridCol w:w="298"/>
        <w:gridCol w:w="299"/>
        <w:gridCol w:w="260"/>
        <w:gridCol w:w="739"/>
        <w:gridCol w:w="144"/>
        <w:gridCol w:w="284"/>
        <w:gridCol w:w="611"/>
        <w:gridCol w:w="158"/>
        <w:gridCol w:w="381"/>
        <w:gridCol w:w="381"/>
        <w:gridCol w:w="383"/>
        <w:gridCol w:w="350"/>
        <w:gridCol w:w="350"/>
        <w:gridCol w:w="512"/>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w:t>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Date</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Outstanding</w:t>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Discount</w:t>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Interest Payable</w:t>
            </w:r>
            <w:r>
              <w:rPr>
                <w:rFonts w:ascii="Times New Roman;serif" w:hAnsi="Times New Roman;serif"/>
                <w:b/>
                <w:color w:val="000000"/>
                <w:sz w:val="10"/>
              </w:rPr>
              <w:t>(1)</w:t>
            </w:r>
          </w:p>
        </w:tc>
        <w:tc>
          <w:tcPr>
            <w:tcW w:w="114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Collateral Type</w:t>
            </w:r>
            <w:r>
              <w:rPr>
                <w:rFonts w:ascii="Times New Roman;serif" w:hAnsi="Times New Roman;serif"/>
                <w:b/>
                <w:color w:val="000000"/>
                <w:sz w:val="10"/>
              </w:rPr>
              <w:t>(2)</w:t>
            </w:r>
          </w:p>
        </w:tc>
        <w:tc>
          <w:tcPr>
            <w:tcW w:w="121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Collateral Rate</w:t>
            </w:r>
            <w:r>
              <w:rPr>
                <w:rFonts w:ascii="Times New Roman;serif" w:hAnsi="Times New Roman;serif"/>
                <w:b/>
                <w:color w:val="000000"/>
                <w:sz w:val="10"/>
              </w:rPr>
              <w:t>(3)</w:t>
            </w:r>
          </w:p>
        </w:tc>
      </w:tr>
      <w:tr>
        <w:trPr/>
        <w:tc>
          <w:tcPr>
            <w:tcW w:w="78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NYDIG</w:t>
            </w:r>
          </w:p>
        </w:tc>
        <w:tc>
          <w:tcPr>
            <w:tcW w:w="67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7/25/2025</w:t>
            </w:r>
          </w:p>
        </w:tc>
        <w:tc>
          <w:tcPr>
            <w:tcW w:w="101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6/30/2026</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(398)</w:t>
            </w:r>
          </w:p>
        </w:tc>
        <w:tc>
          <w:tcPr>
            <w:tcW w:w="2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3,185 </w:t>
            </w:r>
          </w:p>
        </w:tc>
        <w:tc>
          <w:tcPr>
            <w:tcW w:w="1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BTC</w:t>
            </w:r>
          </w:p>
        </w:tc>
        <w:tc>
          <w:tcPr>
            <w:tcW w:w="12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170%</w:t>
            </w:r>
          </w:p>
        </w:tc>
      </w:tr>
      <w:tr>
        <w:trPr/>
        <w:tc>
          <w:tcPr>
            <w:tcW w:w="899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(1) Outstanding interest balances payable to a third party are included in Third party loans on the consolidated balance sheets as of December 31, 2025.</w:t>
            </w:r>
          </w:p>
          <w:p>
            <w:pPr>
              <w:pStyle w:val="TableContents"/>
              <w:bidi w:val="0"/>
              <w:spacing w:lineRule="auto" w:line="288" w:before="0" w:after="0"/>
              <w:ind w:left="0" w:right="0" w:hanging="180"/>
              <w:jc w:val="left"/>
              <w:rPr/>
            </w:pPr>
            <w:r>
              <w:rPr>
                <w:rFonts w:ascii="Times New Roman;serif" w:hAnsi="Times New Roman;serif"/>
                <w:b w:val="false"/>
                <w:color w:val="000000"/>
                <w:sz w:val="14"/>
              </w:rPr>
              <w:t>(2) As of December 31, 2025, the Company had pledged 1,275 BTC, which is included in Crypto assets held on the consolidated balance sheets</w:t>
            </w:r>
            <w:r>
              <w:rPr>
                <w:rFonts w:ascii="Arial;sans-serif" w:hAnsi="Arial;sans-serif"/>
                <w:b w:val="false"/>
                <w:color w:val="000000"/>
                <w:sz w:val="14"/>
              </w:rPr>
              <w:t xml:space="preserve">, </w:t>
            </w:r>
            <w:r>
              <w:rPr>
                <w:rFonts w:ascii="Times New Roman;serif" w:hAnsi="Times New Roman;serif"/>
                <w:b w:val="false"/>
                <w:color w:val="000000"/>
                <w:sz w:val="14"/>
              </w:rPr>
              <w:t>and posted $16.4 million of cash and cash equivalents to satisfy margin requirements, which is included within Other current assets on the consolidated balance sheets. Total collateral associated with the repurchase agreement as of December 31, 2025 was approximately $127.5 million, representing collateralization of approximately 170% of the purchase price.</w:t>
            </w:r>
          </w:p>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 xml:space="preserve">(3) Of the 1,275 BTC pledged, 13 BTC was subject to margin requirements as of December 31, 2025. If the value of the collateral held by NYDIG falls below the 143% buyer’s margin call requirement, the Company must transfer additional BTC or cash and cash equivalents to NYDIG to restore the required collateral level. If the value of the collateral (including BTC and cash posted as margin) held by NYDIG increases above the 200% seller’s margin call requirement, the Company may require NYDIG to return excess collateral, which may be satisfied through the transfer of BTC or the return of cash and cash equivalents previously deposited by the Company to satisfy margin requirements. </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Funding Debt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the Company entered into a $75.0 million warehouse credit agreement with Ripple Labs Inc. (“Ripple”), an unrelated third party, to finance credit card receivables. Pursuant to the agreement, Ripple committed to lend the Company $75.0 million, with the commitment amount eligible to increase, subject to the attainment of certain agreed upon metrics, up to a maximum aggregate commitment amount of $150.0 million, prior to amendment. Ripple may restrict additional drawdowns on the warehouse credit facility if the Company does not maintain at least $50 million equivalent of USD denominated Ripple stablecoin (“RLUSD”) in its wallets held on its exchange platform by January 11, 2026. The debt is collateralized by the credit card receivables purchased by the Company, and bears interest at a rate of 6.5%.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26, 2025, the Company entered into a second amendment to the credit agreement with Ripple, which temporarily increases the lending commitment to $250.0 million through July 1, 2026. In connection with the temporary increase, the interest rate increased from 6.50% to 7.00%. The amendment requires the Company to pledge RLUSD collateral equal to at least 20% of the outstanding loan amount by January 31, 2026, subject to specified custody and control arrangements, and includes a covenant requiring the Company to maintain minimum RLUSD activity levels, with cash penalties and potential events of default for noncompliance. If the outstanding balance is not reduced to $150.0 million or less by July 2, 2026, the interest rate increases to 10.00% and the enhanced collateral and covenant requirements remain in effect until such reduction occurs.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 drew $392.6 million and repaid $238.5 million under the warehouse credit agreement. Accordingly, as of December 31, 2025, the Company had $95.9 million of unused, available borrowing capacity from the credit agreement. Borrowings under the warehouse credit agreement are secured by substantially all credit card receivables purchased under the credit card program agreement. As of December 31, 2025, the Company pledged $188.8 million of credit card receivables as collateral associated with this credit agreement. Credit card receivables pledged are included in Credit card receivables pledged, net on the consolidated balance sheets. The securitized funding debt entered into by the Company is summarized below (in thousands).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16840"/>
                <wp:effectExtent l="0" t="0" r="0" b="0"/>
                <wp:wrapNone/>
                <wp:docPr id="199" name="Frame1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189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Funding Debt as of December 31,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15"/>
        <w:gridCol w:w="269"/>
        <w:gridCol w:w="265"/>
        <w:gridCol w:w="346"/>
        <w:gridCol w:w="346"/>
        <w:gridCol w:w="349"/>
        <w:gridCol w:w="482"/>
        <w:gridCol w:w="482"/>
        <w:gridCol w:w="484"/>
        <w:gridCol w:w="395"/>
        <w:gridCol w:w="1485"/>
        <w:gridCol w:w="219"/>
        <w:gridCol w:w="469"/>
        <w:gridCol w:w="469"/>
        <w:gridCol w:w="471"/>
        <w:gridCol w:w="368"/>
        <w:gridCol w:w="1047"/>
        <w:gridCol w:w="204"/>
        <w:gridCol w:w="439"/>
        <w:gridCol w:w="945"/>
        <w:gridCol w:w="356"/>
      </w:tblGrid>
      <w:tr>
        <w:trPr/>
        <w:tc>
          <w:tcPr>
            <w:tcW w:w="31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Loan</w:t>
            </w:r>
            <w:r>
              <w:rPr>
                <w:rFonts w:ascii="Times New Roman;serif" w:hAnsi="Times New Roman;serif"/>
                <w:b/>
                <w:color w:val="000000"/>
                <w:sz w:val="10"/>
              </w:rPr>
              <w:t>(1)</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Date</w:t>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Outstanding</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Interest Rate</w:t>
            </w:r>
            <w:r>
              <w:rPr>
                <w:rFonts w:ascii="Times New Roman;serif" w:hAnsi="Times New Roman;serif"/>
                <w:b/>
                <w:color w:val="000000"/>
                <w:sz w:val="10"/>
              </w:rPr>
              <w:t>(2)</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Interest Payable</w:t>
            </w:r>
            <w:r>
              <w:rPr>
                <w:rFonts w:ascii="Times New Roman;serif" w:hAnsi="Times New Roman;serif"/>
                <w:b/>
                <w:color w:val="000000"/>
                <w:sz w:val="10"/>
              </w:rPr>
              <w:t>(3)</w:t>
            </w:r>
          </w:p>
        </w:tc>
      </w:tr>
      <w:tr>
        <w:trPr/>
        <w:tc>
          <w:tcPr>
            <w:tcW w:w="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Ripple</w:t>
            </w:r>
          </w:p>
        </w:tc>
        <w:tc>
          <w:tcPr>
            <w:tcW w:w="104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7/11/2025</w:t>
            </w:r>
          </w:p>
        </w:tc>
        <w:tc>
          <w:tcPr>
            <w:tcW w:w="144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11/15/2027</w:t>
            </w:r>
          </w:p>
        </w:tc>
        <w:tc>
          <w:tcPr>
            <w:tcW w:w="3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154,120 </w:t>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c>
          <w:tcPr>
            <w:tcW w:w="3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1,477 </w:t>
            </w:r>
          </w:p>
        </w:tc>
        <w:tc>
          <w:tcPr>
            <w:tcW w:w="2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3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(1) As of December 31, 2025, the Company has pledged credit card receivables included in Credit card receivables pledged on the consolidated balance sheets. Total collateral associated with these loans as of December 31, 2025 was approximately $188.8 million.</w:t>
            </w:r>
          </w:p>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(2) On December 26, 2025 the interest rate was increased from 6.5% to 7.0%.</w:t>
            </w:r>
          </w:p>
          <w:p>
            <w:pPr>
              <w:pStyle w:val="TableContents"/>
              <w:bidi w:val="0"/>
              <w:spacing w:lineRule="auto" w:line="288" w:before="0" w:after="0"/>
              <w:ind w:left="0" w:right="0" w:hanging="180"/>
              <w:jc w:val="both"/>
              <w:rPr>
                <w:rFonts w:ascii="Times New Roman;serif" w:hAnsi="Times New Roman;serif"/>
                <w:b w:val="false"/>
                <w:color w:val="000000"/>
                <w:sz w:val="14"/>
              </w:rPr>
            </w:pPr>
            <w:r>
              <w:rPr>
                <w:rFonts w:ascii="Times New Roman;serif" w:hAnsi="Times New Roman;serif"/>
                <w:b w:val="false"/>
                <w:color w:val="000000"/>
                <w:sz w:val="14"/>
              </w:rPr>
              <w:t>(3) Outstanding interest balances payable for the securitized debt are included in Funding debt on the consolidated balance sheets as of December 31, 2025.</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16. Common Units &amp;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2025, the Company completed its IPO, in which the Company issued and sold 15.9 million shares of its Class A common stock at a public offering price of $28.00 per share, which includes the exercise in full by the underwriters of their option to purchase from the Company an additional 0.3 million shares of the Company’s Class A common stock and 0.5 million shares of the Company’s Class A common stock from the selling stockholders. The sale of shares by the selling stockholders did not result in any proceeds to the Company. Concurrent with the IPO, Nasdaq entered into an agreement with the Company to purchase 1.9 million shares of Class A common stock in a private placement at $26.25 per share.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authorized a total of 1.0 billion shares of Class A common stock with a par value of $0.001 per share and 100.0 million shares of Class B common stock with a par value of $0.001 per share. As of December 31, 2025, the Company had 42,329,262 shares of Class A common stock and 75,126,784 shares of Class B common stock issued and outstanding.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holders of Gemini's Class A common stock are entitled to one vote for each share of common stock held. The holders of Gemini's Class B common stock are entitled to ten votes for each share of common stock held. Holders of Class A common stock and Class B common stock generally vote together as a single class on all matters submitted to a vote of the stockholders of the Company.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dividend and liquidation rights of the holders of the Company's Class A and Class B common stock are subject to declarations by the board and any restrictions imposed by the terms of any outstanding preferred stock. Upon liquidation, dissolution or winding up of the Company, assets legally available for distribution to stockholders will be distributed ratably among the holders of Class A and Class B common stock, subject to prior satisfaction of all outstanding debts and other liabilities and the payment of liquidation preferences, if any, on any outstanding preferred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Shares of Class B common stock are convertible at any time at the option of the holder into shares of Class A common stock on a one-to-one basis. In addition, each share of Class B common stock will automatically convert into a share of Class A common stock upon a transfer, except for certain permitted transfers described in the Company's amended and restated articles of incorporation, and in certain other circumstances. Further, all outstanding shares of Class B common stock will automatically convert into Class A common stock upon the earliest of (i) the death or disability of the last surviving founder or (ii) the date the founders and their permitted transferees collectively hold less than 20% of the Class B common stock outstanding immediately following the closing of our initial public offering.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outstanding shares of the Company's Class A and Class B common stock are fully paid and non-assessable. Holders of Class A and Class B common stock do not have preemptive, subscription, redemption, or sinking fund rights. The rights of holders of the Company's Class A common stock are subject to and qualified by the rights, powers, and preferences of the holders of any preferred stock that we may issue from time to time.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16840"/>
                <wp:effectExtent l="0" t="0" r="0" b="0"/>
                <wp:wrapNone/>
                <wp:docPr id="200" name="Frame1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190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IPO, the Company issued three classes of Common Units, including Basic Common Units, Catch Up Common Units, and Capital Common A Units. In connection with the IPO, all outstanding shares of Common Units were converted into shares of Class A common stock and Class B common stock at the IPO price of $28.00 per share. As such, there were no shares of Common Units that were issued and outstanding as of December 31, 2025.</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equity instruments were converted to Class A and Class B common stock upon IPO (in thousands):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25"/>
        <w:gridCol w:w="726"/>
        <w:gridCol w:w="730"/>
        <w:gridCol w:w="127"/>
        <w:gridCol w:w="127"/>
        <w:gridCol w:w="127"/>
        <w:gridCol w:w="736"/>
        <w:gridCol w:w="736"/>
        <w:gridCol w:w="738"/>
        <w:gridCol w:w="127"/>
        <w:gridCol w:w="127"/>
        <w:gridCol w:w="127"/>
        <w:gridCol w:w="764"/>
        <w:gridCol w:w="739"/>
        <w:gridCol w:w="741"/>
        <w:gridCol w:w="127"/>
        <w:gridCol w:w="127"/>
        <w:gridCol w:w="127"/>
        <w:gridCol w:w="721"/>
        <w:gridCol w:w="662"/>
        <w:gridCol w:w="94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Equity Instrument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 Outstanding Before Conversion</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 Converted - Class A common stock</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 Converted - Class B common stock</w:t>
            </w:r>
          </w:p>
        </w:tc>
      </w:tr>
      <w:tr>
        <w:trPr/>
        <w:tc>
          <w:tcPr>
            <w:tcW w:w="2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Common Units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Capital Common A Units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15,038 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4,599 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Incentive Units (inclusive of phantom units)</w:t>
            </w:r>
            <w:r>
              <w:rPr>
                <w:rFonts w:ascii="Times New Roman;serif" w:hAnsi="Times New Roman;serif"/>
                <w:b w:val="false"/>
                <w:color w:val="000000"/>
                <w:sz w:val="12"/>
              </w:rPr>
              <w:t>(1)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55,170 </w:t>
            </w:r>
          </w:p>
        </w:tc>
        <w:tc>
          <w:tcPr>
            <w:tcW w:w="7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9,441 </w:t>
            </w:r>
          </w:p>
        </w:tc>
        <w:tc>
          <w:tcPr>
            <w:tcW w:w="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9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Convertible preferred units</w:t>
            </w:r>
            <w:r>
              <w:rPr>
                <w:rFonts w:ascii="Times New Roman;serif" w:hAnsi="Times New Roman;serif"/>
                <w:b w:val="false"/>
                <w:color w:val="000000"/>
                <w:sz w:val="12"/>
              </w:rPr>
              <w:t>(2)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39,842 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15,111 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39,430 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 55.2 million Incentive Units (inclusive of phantom units) outstanding were exchanged for 5.0 million shares of Class A common stock in respect of vested Incentive Units, 4.4 million shares of restricted Class A common stock in respect of unvested Incentive Units, and less than 0.1 million shares of Class B common stock in respect of Incentive Units held by the Company's founders.</w:t>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4"/>
              </w:rPr>
              <w:t xml:space="preserve">(2) Conversion of convertible preferred units is pursuant to the conversion ratio as described in </w:t>
            </w:r>
            <w:r>
              <w:rPr>
                <w:rFonts w:ascii="Times New Roman;serif" w:hAnsi="Times New Roman;serif"/>
                <w:b w:val="false"/>
                <w:i/>
                <w:color w:val="000000"/>
                <w:sz w:val="14"/>
              </w:rPr>
              <w:t>Note 17.</w:t>
            </w:r>
            <w:r>
              <w:rPr>
                <w:color w:val="000000"/>
              </w:rPr>
              <w:t xml:space="preserve"> </w:t>
            </w:r>
            <w:r>
              <w:rPr>
                <w:rFonts w:ascii="Times New Roman;serif" w:hAnsi="Times New Roman;serif"/>
                <w:b w:val="false"/>
                <w:i/>
                <w:color w:val="000000"/>
                <w:sz w:val="14"/>
              </w:rPr>
              <w:t>Preferred Units &amp; Preferred Stock</w:t>
            </w:r>
            <w:r>
              <w:rPr>
                <w:rFonts w:ascii="Times New Roman;serif" w:hAnsi="Times New Roman;serif"/>
                <w:b w:val="false"/>
                <w:color w:val="000000"/>
                <w:sz w:val="14"/>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following debt instruments were converted to Class B common stock upon IPO (in thousands):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21"/>
        <w:gridCol w:w="630"/>
        <w:gridCol w:w="635"/>
        <w:gridCol w:w="130"/>
        <w:gridCol w:w="130"/>
        <w:gridCol w:w="130"/>
        <w:gridCol w:w="1361"/>
        <w:gridCol w:w="1356"/>
        <w:gridCol w:w="1359"/>
        <w:gridCol w:w="130"/>
        <w:gridCol w:w="130"/>
        <w:gridCol w:w="130"/>
        <w:gridCol w:w="1000"/>
        <w:gridCol w:w="974"/>
        <w:gridCol w:w="1389"/>
      </w:tblGrid>
      <w:tr>
        <w:trPr/>
        <w:tc>
          <w:tcPr>
            <w:tcW w:w="72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198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Debt Instrument</w:t>
            </w:r>
            <w:r>
              <w:rPr>
                <w:rFonts w:ascii="Times New Roman;serif" w:hAnsi="Times New Roman;serif"/>
                <w:b/>
                <w:color w:val="000000"/>
                <w:sz w:val="12"/>
              </w:rPr>
              <w:t>(1)</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Aggregate Amount Outstanding Before Conversion</w:t>
            </w:r>
            <w:r>
              <w:rPr>
                <w:rFonts w:ascii="Times New Roman;serif" w:hAnsi="Times New Roman;serif"/>
                <w:b/>
                <w:color w:val="000000"/>
                <w:sz w:val="12"/>
              </w:rPr>
              <w:t>(2)</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 Converted - Class B common stock</w:t>
            </w:r>
          </w:p>
        </w:tc>
      </w:tr>
      <w:tr>
        <w:trPr/>
        <w:tc>
          <w:tcPr>
            <w:tcW w:w="1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Convertible Notes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285,007 </w:t>
            </w:r>
          </w:p>
        </w:tc>
        <w:tc>
          <w:tcPr>
            <w:tcW w:w="1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10,179 </w:t>
            </w:r>
          </w:p>
        </w:tc>
        <w:tc>
          <w:tcPr>
            <w:tcW w:w="1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Related party term loans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584,560 </w:t>
            </w:r>
          </w:p>
        </w:tc>
        <w:tc>
          <w:tcPr>
            <w:tcW w:w="1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20,877 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4"/>
              </w:rPr>
              <w:t xml:space="preserve">(1) Automatic conversion of debt instruments is pursuant to the terms at a price per share equal to $22.40, or 80% of the IPO price of $28.00 per share. See </w:t>
            </w:r>
            <w:r>
              <w:rPr>
                <w:rFonts w:ascii="Times New Roman;serif" w:hAnsi="Times New Roman;serif"/>
                <w:b w:val="false"/>
                <w:i/>
                <w:color w:val="000000"/>
                <w:sz w:val="14"/>
              </w:rPr>
              <w:t>Note 13.</w:t>
            </w:r>
            <w:r>
              <w:rPr>
                <w:color w:val="000000"/>
              </w:rPr>
              <w:t xml:space="preserve"> </w:t>
            </w:r>
            <w:r>
              <w:rPr>
                <w:rFonts w:ascii="Times New Roman;serif" w:hAnsi="Times New Roman;serif"/>
                <w:b w:val="false"/>
                <w:i/>
                <w:color w:val="000000"/>
                <w:sz w:val="14"/>
              </w:rPr>
              <w:t xml:space="preserve">Related Party Loans and Convertible Notes </w:t>
            </w:r>
            <w:r>
              <w:rPr>
                <w:rFonts w:ascii="Times New Roman;serif" w:hAnsi="Times New Roman;serif"/>
                <w:b w:val="false"/>
                <w:color w:val="000000"/>
                <w:sz w:val="14"/>
              </w:rPr>
              <w:t>for further details.</w:t>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(2) Includes accrued and unpaid interest.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17. Preferred Units &amp;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Series FF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2018, the Company issued a total of 1,000,000 Series FF preferred units ("Series FF Units") to its founders, Cameron and Tyler Winklevoss, which remained outstanding as of December 31, 2024. In connection with the IPO, all Series FF units were forfeited. As such, there were no Series FF units outstanding as of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Convertible Preferred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2024, the Company had 30,954,820 Series A preferred units (“Series A Units”) and 8,887,101 Series B preferred units (“Series B Units”), collectively the "Convertible Preferred Units", that were issued and outstanding. In connection with the IPO in September 2025, all outstanding shares of the Convertible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16840"/>
                <wp:effectExtent l="0" t="0" r="0" b="0"/>
                <wp:wrapNone/>
                <wp:docPr id="201" name="Frame1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Preferred Units were converted into shares of Class A common stock and Class B common stock based on the terms of the conversion ratio, and their carrying value of $534.4 million was reclassified into stockholders' equity. As such, there were no shares of Convertible Preferred Units issued and outstanding as of December 31, 2025.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schedule summarizes the Company’s authorized, issued and outstanding Convertible Preferred Units as of December 31, 2024 (in thousands, except per unit data):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64"/>
        <w:gridCol w:w="230"/>
        <w:gridCol w:w="233"/>
        <w:gridCol w:w="109"/>
        <w:gridCol w:w="109"/>
        <w:gridCol w:w="109"/>
        <w:gridCol w:w="402"/>
        <w:gridCol w:w="402"/>
        <w:gridCol w:w="403"/>
        <w:gridCol w:w="109"/>
        <w:gridCol w:w="109"/>
        <w:gridCol w:w="109"/>
        <w:gridCol w:w="587"/>
        <w:gridCol w:w="587"/>
        <w:gridCol w:w="589"/>
        <w:gridCol w:w="109"/>
        <w:gridCol w:w="109"/>
        <w:gridCol w:w="109"/>
        <w:gridCol w:w="308"/>
        <w:gridCol w:w="875"/>
        <w:gridCol w:w="171"/>
        <w:gridCol w:w="109"/>
        <w:gridCol w:w="109"/>
        <w:gridCol w:w="109"/>
        <w:gridCol w:w="273"/>
        <w:gridCol w:w="1026"/>
        <w:gridCol w:w="151"/>
        <w:gridCol w:w="109"/>
        <w:gridCol w:w="109"/>
        <w:gridCol w:w="109"/>
        <w:gridCol w:w="372"/>
        <w:gridCol w:w="1397"/>
        <w:gridCol w:w="300"/>
      </w:tblGrid>
      <w:tr>
        <w:trPr/>
        <w:tc>
          <w:tcPr>
            <w:tcW w:w="26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Units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Units Issued and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Original Price 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Liquidation Preference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Carrying Value, Net of Issuance Cost</w:t>
            </w:r>
          </w:p>
        </w:tc>
      </w:tr>
      <w:tr>
        <w:trPr/>
        <w:tc>
          <w:tcPr>
            <w:tcW w:w="7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Series A-1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14,756 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14,756 </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21,078 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10,539 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Series 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Series A-3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18,860 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9,430 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Series A-4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5,676 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5,676 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89,700 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44,850 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Series A-5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1,486 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1,486 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12,400 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Series A-6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4,091 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4,091 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Series A-7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3,238 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3,238 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21,400 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Series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8,910 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8,887 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423,903 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422,857 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39,865 </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39,842 </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646,925 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534,368 </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in September 2025, the Company authorized 20,000,000 shares of preferred stock for issuance, at a par value of $0.001 per share. No shares of preferred stock were issued and outstanding as of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18. Stock-Based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Equity Plan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Equity Plan became effective on September 12, 2025. Under the Equity Plan, the Company is authorized to grant shares of common stock in the form of stock options, restricted stock units (“RSUs”), and restricted stock awards (“RSAs”) to employees, directors, and consultants. As of December 31, 2025, there were 17,887,577 shares of Class A common stock subject to issued and outstanding RSUs and stock options under the Equity Plan. As of December 31, 2025, the Company had 7,215,444 shares available for future issuance under the Equity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Employee Stock Purchase Plan (“ESPP”)</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ESPP became effective on September 12, 2025. An aggregate of 7,383,241 shares of the Company’s class A common stock has been authorized for issuance under the ESPP. During the year ended December 31, 2025, no shares were purchased under the ESPP. As of December 31, 2025, all 7,383,241 shares remained available for future issuance under the ESPP. The Company did not recognize any stock-based compensation expense or liability related to the ESPP for the year ended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RSUs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2025, the Company approved its annual bonus arrangements totaling $15.1 million to be settled in shares of Class A common stock contingent upon the completion of an IPO. Upon the completion of the IPO on September 11, 2025, 538,612 shares of RSUs were issued and vested, based on the IPO price of $28.00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16840"/>
                <wp:effectExtent l="0" t="0" r="0" b="0"/>
                <wp:wrapNone/>
                <wp:docPr id="202" name="Frame1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192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and became outstanding. The Company recognized the related stock-based compensation expense in full upon completion of the IPO.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bonus RSUs, upon the completion of the IPO, 4,730,917 shares of Class A common stock were issuable upon the vesting and settlement of RSUs, granted under the Equity Plan to certain executive officers, other employees and members of the board of directors. In November 2025, the Company also granted RSUs to certain employees as part of its ongoing compensation programs, which vest over the applicable service periods in accordance with the terms of the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 for the year ended December 31, 2025 (in thousands):</w:t>
      </w:r>
    </w:p>
    <w:p>
      <w:pPr>
        <w:pStyle w:val="TextBody"/>
        <w:bidi w:val="0"/>
        <w:spacing w:before="0" w:after="0"/>
        <w:jc w:val="both"/>
        <w:rPr/>
      </w:pPr>
      <w:r>
        <w:rPr/>
      </w:r>
    </w:p>
    <w:tbl>
      <w:tblPr>
        <w:tblW w:w="8305" w:type="dxa"/>
        <w:jc w:val="left"/>
        <w:tblInd w:w="0" w:type="dxa"/>
        <w:tblLayout w:type="fixed"/>
        <w:tblCellMar>
          <w:top w:w="28" w:type="dxa"/>
          <w:left w:w="28" w:type="dxa"/>
          <w:bottom w:w="28" w:type="dxa"/>
          <w:right w:w="28" w:type="dxa"/>
        </w:tblCellMar>
      </w:tblPr>
      <w:tblGrid>
        <w:gridCol w:w="868"/>
        <w:gridCol w:w="765"/>
        <w:gridCol w:w="767"/>
        <w:gridCol w:w="479"/>
        <w:gridCol w:w="479"/>
        <w:gridCol w:w="481"/>
        <w:gridCol w:w="109"/>
        <w:gridCol w:w="109"/>
        <w:gridCol w:w="109"/>
        <w:gridCol w:w="893"/>
        <w:gridCol w:w="2540"/>
        <w:gridCol w:w="706"/>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Weighted-Average Grant Date Fair Value per Share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December 31, 2024</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11,206 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(2,371)</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December 31, 2025</w:t>
            </w:r>
          </w:p>
        </w:tc>
        <w:tc>
          <w:tcPr>
            <w:tcW w:w="9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8,669 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18.97 </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total unrecognized compensation expense related to RSUs amounted to $152.2 million. The unrecognized expense for the RSUs is expected to be recognized over a weighted-average period of 2.6 years, subject to continued vesting.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aggregate fair value for the RSUs which vested during the year ended December 31, 2025 was $54.5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RSAs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the completion of the IPO, 4,399,544 shares of restricted Class A common stock were granted under the Equity Plan to certain executive officers, other employees and board members.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RSA activity for the year ended December 31, 2025 (in thousands):</w:t>
      </w:r>
    </w:p>
    <w:p>
      <w:pPr>
        <w:pStyle w:val="TextBody"/>
        <w:bidi w:val="0"/>
        <w:spacing w:before="0" w:after="0"/>
        <w:jc w:val="both"/>
        <w:rPr/>
      </w:pPr>
      <w:r>
        <w:rPr/>
      </w:r>
    </w:p>
    <w:tbl>
      <w:tblPr>
        <w:tblW w:w="9219" w:type="dxa"/>
        <w:jc w:val="left"/>
        <w:tblInd w:w="0" w:type="dxa"/>
        <w:tblLayout w:type="fixed"/>
        <w:tblCellMar>
          <w:top w:w="28" w:type="dxa"/>
          <w:left w:w="28" w:type="dxa"/>
          <w:bottom w:w="28" w:type="dxa"/>
          <w:right w:w="28" w:type="dxa"/>
        </w:tblCellMar>
      </w:tblPr>
      <w:tblGrid>
        <w:gridCol w:w="1226"/>
        <w:gridCol w:w="1080"/>
        <w:gridCol w:w="1083"/>
        <w:gridCol w:w="454"/>
        <w:gridCol w:w="454"/>
        <w:gridCol w:w="456"/>
        <w:gridCol w:w="109"/>
        <w:gridCol w:w="109"/>
        <w:gridCol w:w="109"/>
        <w:gridCol w:w="893"/>
        <w:gridCol w:w="2540"/>
        <w:gridCol w:w="706"/>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Number of RSA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Weighted-Average Grant Date Fair Value per Share</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December 31, 2024</w:t>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awards in connection with IPO</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4,400 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December 31, 2025</w:t>
            </w:r>
          </w:p>
        </w:tc>
        <w:tc>
          <w:tcPr>
            <w:tcW w:w="9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3,180 </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total unrecognized compensation expense related to RSAs amounted to $6.3 million. The unrecognized expense for the RSAs is expected to be recognized over a weighted-average period of 1.5 years, subject to continued vesting.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aggregate fair value for the RSAs which vested during the year ended December 31, 2025 was $26.9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16840"/>
                <wp:effectExtent l="0" t="0" r="0" b="0"/>
                <wp:wrapNone/>
                <wp:docPr id="203" name="Frame1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193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Time-Based Stock Options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482,142 shares of Class A common stock were issuable upon the exercise of stock options granted under the Equity Plan to the Company certain executive officers.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options activity for the year ended December 31, 2025 (in thousands):</w:t>
      </w:r>
    </w:p>
    <w:tbl>
      <w:tblPr>
        <w:tblW w:w="10205" w:type="dxa"/>
        <w:jc w:val="left"/>
        <w:tblInd w:w="0" w:type="dxa"/>
        <w:tblLayout w:type="fixed"/>
        <w:tblCellMar>
          <w:top w:w="28" w:type="dxa"/>
          <w:left w:w="28" w:type="dxa"/>
          <w:bottom w:w="28" w:type="dxa"/>
          <w:right w:w="28" w:type="dxa"/>
        </w:tblCellMar>
      </w:tblPr>
      <w:tblGrid>
        <w:gridCol w:w="957"/>
        <w:gridCol w:w="843"/>
        <w:gridCol w:w="846"/>
        <w:gridCol w:w="675"/>
        <w:gridCol w:w="675"/>
        <w:gridCol w:w="678"/>
        <w:gridCol w:w="109"/>
        <w:gridCol w:w="109"/>
        <w:gridCol w:w="109"/>
        <w:gridCol w:w="585"/>
        <w:gridCol w:w="1664"/>
        <w:gridCol w:w="328"/>
        <w:gridCol w:w="109"/>
        <w:gridCol w:w="109"/>
        <w:gridCol w:w="109"/>
        <w:gridCol w:w="345"/>
        <w:gridCol w:w="345"/>
        <w:gridCol w:w="346"/>
        <w:gridCol w:w="109"/>
        <w:gridCol w:w="109"/>
        <w:gridCol w:w="109"/>
        <w:gridCol w:w="241"/>
        <w:gridCol w:w="499"/>
        <w:gridCol w:w="197"/>
      </w:tblGrid>
      <w:tr>
        <w:trPr/>
        <w:tc>
          <w:tcPr>
            <w:tcW w:w="95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Number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Value</w:t>
            </w:r>
          </w:p>
        </w:tc>
      </w:tr>
      <w:tr>
        <w:trPr/>
        <w:tc>
          <w:tcPr>
            <w:tcW w:w="26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Ou</w:t>
            </w:r>
            <w:r>
              <w:rPr>
                <w:rFonts w:ascii="Times New Roman;serif" w:hAnsi="Times New Roman;serif"/>
                <w:b w:val="false"/>
                <w:color w:val="000000"/>
                <w:sz w:val="20"/>
              </w:rPr>
              <w:t>t</w:t>
            </w:r>
            <w:r>
              <w:rPr>
                <w:rFonts w:ascii="Times New Roman;serif" w:hAnsi="Times New Roman;serif"/>
                <w:b w:val="false"/>
                <w:color w:val="000000"/>
                <w:sz w:val="18"/>
              </w:rPr>
              <w:t>stan</w:t>
            </w:r>
            <w:r>
              <w:rPr>
                <w:rFonts w:ascii="Times New Roman;serif" w:hAnsi="Times New Roman;serif"/>
                <w:b w:val="false"/>
                <w:color w:val="000000"/>
                <w:sz w:val="20"/>
              </w:rPr>
              <w:t>ding</w:t>
            </w:r>
            <w:r>
              <w:rPr>
                <w:color w:val="000000"/>
              </w:rPr>
              <w:t xml:space="preserve"> </w:t>
            </w:r>
            <w:r>
              <w:rPr>
                <w:rFonts w:ascii="Times New Roman;serif" w:hAnsi="Times New Roman;serif"/>
                <w:b w:val="false"/>
                <w:color w:val="000000"/>
                <w:sz w:val="18"/>
              </w:rPr>
              <w:t>at December 31, 2024</w:t>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Expired</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Out</w:t>
            </w:r>
            <w:r>
              <w:rPr>
                <w:rFonts w:ascii="Times New Roman;serif" w:hAnsi="Times New Roman;serif"/>
                <w:b w:val="false"/>
                <w:color w:val="000000"/>
                <w:sz w:val="20"/>
              </w:rPr>
              <w:t>standing</w:t>
            </w:r>
            <w:r>
              <w:rPr>
                <w:color w:val="000000"/>
              </w:rPr>
              <w:t xml:space="preserve"> </w:t>
            </w:r>
            <w:r>
              <w:rPr>
                <w:rFonts w:ascii="Times New Roman;serif" w:hAnsi="Times New Roman;serif"/>
                <w:b w:val="false"/>
                <w:color w:val="000000"/>
                <w:sz w:val="18"/>
              </w:rPr>
              <w:t>at December 31, 2025</w:t>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Exercisable at December 31, 2025</w:t>
            </w:r>
          </w:p>
        </w:tc>
        <w:tc>
          <w:tcPr>
            <w:tcW w:w="13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total unrecognized compensation expense related to stock options amounted to $8.1 million. The unrecognized expense for the stock options is expected to be recognized over a weighted-average period of 3.7 years, subject to continued vesting.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takes into consideration many factors in determining the fair value of the time-based stock options and estimates the fair value of such awards on the grant date. The Company used the Black-Scholes-Merton option pricing model to estimate the fair value of the time-based stock options with the following assumptions as of December 31, 2025:</w:t>
      </w:r>
    </w:p>
    <w:p>
      <w:pPr>
        <w:pStyle w:val="TextBody"/>
        <w:bidi w:val="0"/>
        <w:spacing w:before="0" w:after="0"/>
        <w:jc w:val="both"/>
        <w:rPr/>
      </w:pPr>
      <w:r>
        <w:rPr/>
      </w:r>
    </w:p>
    <w:tbl>
      <w:tblPr>
        <w:tblW w:w="3127" w:type="dxa"/>
        <w:jc w:val="left"/>
        <w:tblInd w:w="0" w:type="dxa"/>
        <w:tblLayout w:type="fixed"/>
        <w:tblCellMar>
          <w:top w:w="28" w:type="dxa"/>
          <w:left w:w="28" w:type="dxa"/>
          <w:bottom w:w="28" w:type="dxa"/>
          <w:right w:w="28" w:type="dxa"/>
        </w:tblCellMar>
      </w:tblPr>
      <w:tblGrid>
        <w:gridCol w:w="624"/>
        <w:gridCol w:w="549"/>
        <w:gridCol w:w="552"/>
        <w:gridCol w:w="261"/>
        <w:gridCol w:w="261"/>
        <w:gridCol w:w="617"/>
        <w:gridCol w:w="109"/>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Assumptions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61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61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Yield</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61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Expected term in years</w:t>
      </w:r>
      <w:r>
        <w:rPr>
          <w:color w:val="000000"/>
        </w:rPr>
        <w:t xml:space="preserve"> </w:t>
      </w:r>
      <w:r>
        <w:rPr>
          <w:rFonts w:ascii="Times New Roman;serif" w:hAnsi="Times New Roman;serif"/>
          <w:b w:val="false"/>
          <w:color w:val="000000"/>
          <w:sz w:val="20"/>
        </w:rPr>
        <w:t>- The expected term is based on the average period the time-based stock options are expected to remain outstanding, generally calculated as the midpoint of the time-based stock options' remaining vesting term and contractual expiration period, as the Company does not have sufficient historical information to develop reasonable expectations about future exercise patterns and post-vesting employment termination behavior.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Volatility</w:t>
      </w:r>
      <w:r>
        <w:rPr>
          <w:color w:val="000000"/>
        </w:rPr>
        <w:t xml:space="preserve"> </w:t>
      </w:r>
      <w:r>
        <w:rPr>
          <w:rFonts w:ascii="Times New Roman;serif" w:hAnsi="Times New Roman;serif"/>
          <w:b w:val="false"/>
          <w:color w:val="000000"/>
          <w:sz w:val="20"/>
        </w:rPr>
        <w:t>- The expected volatility is based on the volatility of peer companies, as there is limited trading history for the Company's common stock. Management believes this is the best estimate of the expected volatility over the expected life of the time-based stock options.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Risk-free rate </w:t>
      </w:r>
      <w:r>
        <w:rPr>
          <w:rFonts w:ascii="Times New Roman;serif" w:hAnsi="Times New Roman;serif"/>
          <w:b w:val="false"/>
          <w:color w:val="000000"/>
          <w:sz w:val="20"/>
        </w:rPr>
        <w:t>- The risk-free interest rate is based on the U.S. Treasury yield curve that corresponds with the expected term at the time of grant.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16840"/>
                <wp:effectExtent l="0" t="0" r="0" b="0"/>
                <wp:wrapNone/>
                <wp:docPr id="204" name="Frame1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194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Dividend yield </w:t>
      </w:r>
      <w:r>
        <w:rPr>
          <w:rFonts w:ascii="Times New Roman;serif" w:hAnsi="Times New Roman;serif"/>
          <w:b w:val="false"/>
          <w:color w:val="000000"/>
          <w:sz w:val="20"/>
        </w:rPr>
        <w:t>- The Company has not paid and does not expect to pay dividends. Consequently, the Company uses an expected dividend yield of zero.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Market-Based Stock Options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6,365,462 shares of Class A common stock were issuable upon the exercise of stock options granted under the Equity Plan to the Company's founders.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options activity for the year ended December 31, 2025 (in thousands):</w:t>
      </w:r>
    </w:p>
    <w:tbl>
      <w:tblPr>
        <w:tblW w:w="10205" w:type="dxa"/>
        <w:jc w:val="left"/>
        <w:tblInd w:w="0" w:type="dxa"/>
        <w:tblLayout w:type="fixed"/>
        <w:tblCellMar>
          <w:top w:w="28" w:type="dxa"/>
          <w:left w:w="28" w:type="dxa"/>
          <w:bottom w:w="28" w:type="dxa"/>
          <w:right w:w="28" w:type="dxa"/>
        </w:tblCellMar>
      </w:tblPr>
      <w:tblGrid>
        <w:gridCol w:w="932"/>
        <w:gridCol w:w="821"/>
        <w:gridCol w:w="823"/>
        <w:gridCol w:w="689"/>
        <w:gridCol w:w="688"/>
        <w:gridCol w:w="691"/>
        <w:gridCol w:w="109"/>
        <w:gridCol w:w="109"/>
        <w:gridCol w:w="109"/>
        <w:gridCol w:w="592"/>
        <w:gridCol w:w="1685"/>
        <w:gridCol w:w="332"/>
        <w:gridCol w:w="109"/>
        <w:gridCol w:w="109"/>
        <w:gridCol w:w="109"/>
        <w:gridCol w:w="345"/>
        <w:gridCol w:w="345"/>
        <w:gridCol w:w="346"/>
        <w:gridCol w:w="109"/>
        <w:gridCol w:w="109"/>
        <w:gridCol w:w="109"/>
        <w:gridCol w:w="241"/>
        <w:gridCol w:w="499"/>
        <w:gridCol w:w="195"/>
      </w:tblGrid>
      <w:tr>
        <w:trPr/>
        <w:tc>
          <w:tcPr>
            <w:tcW w:w="93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Number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Value</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December 31, 2024</w:t>
            </w:r>
          </w:p>
        </w:tc>
        <w:tc>
          <w:tcPr>
            <w:tcW w:w="13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6,365 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Expired</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December 31, 2025</w:t>
            </w:r>
          </w:p>
        </w:tc>
        <w:tc>
          <w:tcPr>
            <w:tcW w:w="13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6,365 </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Exercisable at December 31, 2025</w:t>
            </w:r>
          </w:p>
        </w:tc>
        <w:tc>
          <w:tcPr>
            <w:tcW w:w="13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total unrecognized compensation expense related to market-based stock options amounted to $114.7 million. The unrecognized expense for the stock options is expected to be recognized over a weighted-average period of 3.7 years, subject to continued vesting.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takes into consideration many factors in determining the fair value of the market-based stock options and estimates the fair value of such awards on the grant date. The Company used a Monte Carlo Simulation Model (a binomial lattice-based valuation model) to estimate the fair value of the market-based stock options with the following assumptions as of December 31, 2025:</w:t>
      </w:r>
    </w:p>
    <w:p>
      <w:pPr>
        <w:pStyle w:val="TextBody"/>
        <w:bidi w:val="0"/>
        <w:spacing w:before="0" w:after="0"/>
        <w:jc w:val="both"/>
        <w:rPr/>
      </w:pPr>
      <w:r>
        <w:rPr/>
      </w:r>
    </w:p>
    <w:tbl>
      <w:tblPr>
        <w:tblW w:w="3127" w:type="dxa"/>
        <w:jc w:val="left"/>
        <w:tblInd w:w="0" w:type="dxa"/>
        <w:tblLayout w:type="fixed"/>
        <w:tblCellMar>
          <w:top w:w="28" w:type="dxa"/>
          <w:left w:w="28" w:type="dxa"/>
          <w:bottom w:w="28" w:type="dxa"/>
          <w:right w:w="28" w:type="dxa"/>
        </w:tblCellMar>
      </w:tblPr>
      <w:tblGrid>
        <w:gridCol w:w="624"/>
        <w:gridCol w:w="549"/>
        <w:gridCol w:w="552"/>
        <w:gridCol w:w="261"/>
        <w:gridCol w:w="261"/>
        <w:gridCol w:w="617"/>
        <w:gridCol w:w="109"/>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Assumptions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61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rate</w:t>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61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Yield</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61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Expected term in years</w:t>
      </w:r>
      <w:r>
        <w:rPr>
          <w:color w:val="000000"/>
        </w:rPr>
        <w:t xml:space="preserve"> </w:t>
      </w:r>
      <w:r>
        <w:rPr>
          <w:rFonts w:ascii="Times New Roman;serif" w:hAnsi="Times New Roman;serif"/>
          <w:b w:val="false"/>
          <w:color w:val="000000"/>
          <w:sz w:val="20"/>
        </w:rPr>
        <w:t>- The expected term is based on the average period the market-based stock options are expected to remain outstanding, generally calculated as the midpoint of the market-based stock options’ remaining vesting term and contractual expiration period, as the Company does not have sufficient historical information to develop reasonable expectations about future exercise patterns and post-vesting employment termination behavior.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Volatility</w:t>
      </w:r>
      <w:r>
        <w:rPr>
          <w:color w:val="000000"/>
        </w:rPr>
        <w:t xml:space="preserve"> </w:t>
      </w:r>
      <w:r>
        <w:rPr>
          <w:rFonts w:ascii="Times New Roman;serif" w:hAnsi="Times New Roman;serif"/>
          <w:b w:val="false"/>
          <w:color w:val="000000"/>
          <w:sz w:val="20"/>
        </w:rPr>
        <w:t>- The expected volatility is based on the volatility of peer companies, as there is limited trading history for the Company’s common stock. Management believes this is the best estimate of the expected volatility over the expected life of the market-based stock options.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16840"/>
                <wp:effectExtent l="0" t="0" r="0" b="0"/>
                <wp:wrapNone/>
                <wp:docPr id="205" name="Frame19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195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Risk-free rate </w:t>
      </w:r>
      <w:r>
        <w:rPr>
          <w:rFonts w:ascii="Times New Roman;serif" w:hAnsi="Times New Roman;serif"/>
          <w:b w:val="false"/>
          <w:color w:val="000000"/>
          <w:sz w:val="20"/>
        </w:rPr>
        <w:t>- The risk-free interest rate is based on the U.S. Treasury yield curve that corresponds with the expected term at the time of grant.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Dividend yield </w:t>
      </w:r>
      <w:r>
        <w:rPr>
          <w:rFonts w:ascii="Times New Roman;serif" w:hAnsi="Times New Roman;serif"/>
          <w:b w:val="false"/>
          <w:color w:val="000000"/>
          <w:sz w:val="20"/>
        </w:rPr>
        <w:t>- The Company has not paid and does not expect to pay dividends. Consequently, the Company uses an expected dividend yield of zero.</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IPO, the Company granted various equity classified awards, including Service-Based Incentive Units, Performance-Based Incentive Units, Phantom Units, and Service-Based Common Units. In addition, the Company issued liability classified awards, including Original Phantom Units.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Service-Based Incentive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Service-Based Incentive Units activity for the year ended December 31, 2025 (in thousands):</w:t>
      </w:r>
    </w:p>
    <w:p>
      <w:pPr>
        <w:pStyle w:val="TextBody"/>
        <w:bidi w:val="0"/>
        <w:spacing w:before="0" w:after="0"/>
        <w:jc w:val="both"/>
        <w:rPr/>
      </w:pPr>
      <w:r>
        <w:rPr/>
      </w:r>
    </w:p>
    <w:tbl>
      <w:tblPr>
        <w:tblW w:w="8845" w:type="dxa"/>
        <w:jc w:val="left"/>
        <w:tblInd w:w="0" w:type="dxa"/>
        <w:tblLayout w:type="fixed"/>
        <w:tblCellMar>
          <w:top w:w="28" w:type="dxa"/>
          <w:left w:w="28" w:type="dxa"/>
          <w:bottom w:w="28" w:type="dxa"/>
          <w:right w:w="28" w:type="dxa"/>
        </w:tblCellMar>
      </w:tblPr>
      <w:tblGrid>
        <w:gridCol w:w="879"/>
        <w:gridCol w:w="774"/>
        <w:gridCol w:w="776"/>
        <w:gridCol w:w="684"/>
        <w:gridCol w:w="684"/>
        <w:gridCol w:w="686"/>
        <w:gridCol w:w="109"/>
        <w:gridCol w:w="109"/>
        <w:gridCol w:w="109"/>
        <w:gridCol w:w="968"/>
        <w:gridCol w:w="2304"/>
        <w:gridCol w:w="763"/>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Number of Service-Based</w:t>
              <w:br/>
              <w:t>Incentive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 per Unit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December 31, 2024</w:t>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2,729 </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18,731 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(5,276)</w:t>
            </w:r>
          </w:p>
        </w:tc>
        <w:tc>
          <w:tcPr>
            <w:tcW w:w="6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at September 10, 2025</w:t>
            </w:r>
          </w:p>
        </w:tc>
        <w:tc>
          <w:tcPr>
            <w:tcW w:w="13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14,415 </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0.58 </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5"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2024 and 2023, the weighted average grant date fair value per Service-Based Incentive Unit granted was $0.97 and $1.72, respectively.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aggregate fair value for the Service-Based Incentive Units which vested during the years ended December 31, 2024 and 2023 was $5.4 million and $16.7 million, respectively.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on September 11, 2025 all 36,837,700 Service-Based Incentive Units that were fully vested and outstanding were exchanged for 4,699,140 shares of Class A common stock. All 14,415,951 Service-Based Incentive Units that were unvested were converted to 3,815,917 RSAs and vest following their original vesting schedules over the remaining life of the awards which is generally 2 years to 4 years after the date of grant. Refer to the RSU and RSA table further above. As of December 31, 2025 and 2024, there were 0 and 34,673,621 Service-Based Incentive Units outstanding,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Performance-Based Incentive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on September 11, 2025 all 677,750 Performance-Based Incentive Units that were fully vested and outstanding were modified to RSUs and exchanged for 141,004 shares of Class A common stock. As of December 31, 2025 and 2024, there were 0 and 677,750 Performance-Based Incentive Units that were fully vested and outstanding, respectively. There were no awards granted or forfeited during the year ended December 31, 2025. All Performance-Based Incentive Units were fully vested as of December 31,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Phantom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Phantom Units activity for the year ended December 31, 2025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16840"/>
                <wp:effectExtent l="0" t="0" r="0" b="0"/>
                <wp:wrapNone/>
                <wp:docPr id="206" name="Frame19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196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8951" w:type="dxa"/>
        <w:jc w:val="left"/>
        <w:tblInd w:w="0" w:type="dxa"/>
        <w:tblLayout w:type="fixed"/>
        <w:tblCellMar>
          <w:top w:w="28" w:type="dxa"/>
          <w:left w:w="28" w:type="dxa"/>
          <w:bottom w:w="28" w:type="dxa"/>
          <w:right w:w="28" w:type="dxa"/>
        </w:tblCellMar>
      </w:tblPr>
      <w:tblGrid>
        <w:gridCol w:w="879"/>
        <w:gridCol w:w="774"/>
        <w:gridCol w:w="776"/>
        <w:gridCol w:w="719"/>
        <w:gridCol w:w="719"/>
        <w:gridCol w:w="722"/>
        <w:gridCol w:w="109"/>
        <w:gridCol w:w="109"/>
        <w:gridCol w:w="109"/>
        <w:gridCol w:w="968"/>
        <w:gridCol w:w="2304"/>
        <w:gridCol w:w="763"/>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Number of Phantom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 per Unit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December 31, 2024</w:t>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at September 10, 2025</w:t>
            </w:r>
          </w:p>
        </w:tc>
        <w:tc>
          <w:tcPr>
            <w:tcW w:w="14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2,101 </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2024 and 2023, the weighted average grant date fair value per Phantom Units granted was $0.90 and $1.56, respectively.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aggregate fair value for the Phantom Units which vested during both the years ended December 31, 2024 and 2023 was less than $0.1 million.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all 658,494 Phantom Units that were fully vested and outstanding were exchanged for 179,113 shares of Class A common stock. All 2,101,173 Phantom Units that were unvested were modified to 567,756 RSAs. As of December 31, 2025 and 2024, there were 0 and 406,600 Phantom Units outstanding,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Service-Based Common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all 1,050,270 Service-Based Common Units that were fully vested and outstanding were converted to 321,219 shares of Class A common stock. As such, as of December 31, 2025 and 2024, there were 0 and 553,867 Service-Based Common Units that were fully vested and outstanding, respectively. There were no awards granted or forfeited during the year ended December 31, 2025. All Service-Based Common Units were fully vested as of December 31, 2024.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aggregate fair value for the Service-Based Incentive Units that vested during the years ended December 31, 2024 and 2023 was $8.6 million and $7.0 million,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Original Phantom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granted options to certain employees under the Original Phantom Units plan that required automatic settlement in cash payment upon the occurrence of a change in control event. In connection with the IPO, all 384,312 Original Phantom Units that were fully vested and outstanding were exchanged for 64,144 shares of Class A common stock. All 94,973 Original Phantom Units that were unvested were modified to 15,871 RSAs. As such, there were 0 and 755,729 Original Phantom Units outstanding as of December 31, 2025 and 2024, respectively. Prior to the IPO, the Original Phantom Units were classified as a liability in Accrued expenses on the consolidated balance sheets due to the cash settlement requirements. As the service conditions were considered probable, the Company recognized a liability of $1.2 million and $1.3 million as of December 31, 2025 and December 31, 2024, respectively.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recognized stock-based compensation expense of $85.0 million, $5.6 million, and $15.8 million for the years ended December 31, 2025 and 2024 and 2023, respectively. During the years ended December 31, 2025, 2024 and 2023, the Company recognized an income tax benefit (provision) of $0 related to stock-based compensation expense. Stock-based compensation expense is classified within Salaries and compensation in the consolidated statements of operations and comprehensive loss.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16840"/>
                <wp:effectExtent l="0" t="0" r="0" b="0"/>
                <wp:wrapNone/>
                <wp:docPr id="207" name="Frame1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197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19. Income Taxes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income (loss) before income taxes were attributable to the following regions (in thousands):</w:t>
      </w:r>
    </w:p>
    <w:tbl>
      <w:tblPr>
        <w:tblW w:w="4843" w:type="dxa"/>
        <w:jc w:val="left"/>
        <w:tblInd w:w="0" w:type="dxa"/>
        <w:tblLayout w:type="fixed"/>
        <w:tblCellMar>
          <w:top w:w="28" w:type="dxa"/>
          <w:left w:w="28" w:type="dxa"/>
          <w:bottom w:w="28" w:type="dxa"/>
          <w:right w:w="28" w:type="dxa"/>
        </w:tblCellMar>
      </w:tblPr>
      <w:tblGrid>
        <w:gridCol w:w="288"/>
        <w:gridCol w:w="253"/>
        <w:gridCol w:w="255"/>
        <w:gridCol w:w="196"/>
        <w:gridCol w:w="811"/>
        <w:gridCol w:w="109"/>
        <w:gridCol w:w="109"/>
        <w:gridCol w:w="109"/>
        <w:gridCol w:w="109"/>
        <w:gridCol w:w="196"/>
        <w:gridCol w:w="811"/>
        <w:gridCol w:w="109"/>
        <w:gridCol w:w="109"/>
        <w:gridCol w:w="109"/>
        <w:gridCol w:w="109"/>
        <w:gridCol w:w="196"/>
        <w:gridCol w:w="811"/>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Domestic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(609,696)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(146,955)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(320,956)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(588,800)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(150,920)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(323,749)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 consisted of the following (in thousands):</w:t>
      </w:r>
    </w:p>
    <w:tbl>
      <w:tblPr>
        <w:tblW w:w="7421" w:type="dxa"/>
        <w:jc w:val="left"/>
        <w:tblInd w:w="0" w:type="dxa"/>
        <w:tblLayout w:type="fixed"/>
        <w:tblCellMar>
          <w:top w:w="28" w:type="dxa"/>
          <w:left w:w="28" w:type="dxa"/>
          <w:bottom w:w="28" w:type="dxa"/>
          <w:right w:w="28" w:type="dxa"/>
        </w:tblCellMar>
      </w:tblPr>
      <w:tblGrid>
        <w:gridCol w:w="1439"/>
        <w:gridCol w:w="1263"/>
        <w:gridCol w:w="1287"/>
        <w:gridCol w:w="196"/>
        <w:gridCol w:w="631"/>
        <w:gridCol w:w="109"/>
        <w:gridCol w:w="109"/>
        <w:gridCol w:w="109"/>
        <w:gridCol w:w="109"/>
        <w:gridCol w:w="196"/>
        <w:gridCol w:w="556"/>
        <w:gridCol w:w="109"/>
        <w:gridCol w:w="109"/>
        <w:gridCol w:w="109"/>
        <w:gridCol w:w="109"/>
        <w:gridCol w:w="196"/>
        <w:gridCol w:w="631"/>
        <w:gridCol w:w="154"/>
      </w:tblGrid>
      <w:tr>
        <w:trPr/>
        <w:tc>
          <w:tcPr>
            <w:tcW w:w="143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Current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18"/>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18"/>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18"/>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18"/>
              </w:rPr>
              <w:t>Total current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Deferred</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18"/>
              </w:rPr>
              <w:t>Federal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18"/>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18"/>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18"/>
              </w:rPr>
              <w:t>Total deferred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 (benefit from) provision for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table below provides the updated requirements of ASU 2023-09 for 2025. See </w:t>
      </w:r>
      <w:r>
        <w:rPr>
          <w:rFonts w:ascii="Times New Roman;serif" w:hAnsi="Times New Roman;serif"/>
          <w:b w:val="false"/>
          <w:i/>
          <w:color w:val="000000"/>
          <w:sz w:val="20"/>
        </w:rPr>
        <w:t>Note 2. Summary of Significant Accounting Policies</w:t>
      </w:r>
      <w:r>
        <w:rPr>
          <w:color w:val="000000"/>
        </w:rPr>
        <w:t>—</w:t>
      </w:r>
      <w:r>
        <w:rPr>
          <w:rFonts w:ascii="Times New Roman;serif" w:hAnsi="Times New Roman;serif"/>
          <w:b w:val="false"/>
          <w:i/>
          <w:color w:val="000000"/>
          <w:sz w:val="20"/>
        </w:rPr>
        <w:t>Recent accounting pronouncements</w:t>
      </w:r>
      <w:r>
        <w:rPr>
          <w:color w:val="000000"/>
        </w:rPr>
        <w:t xml:space="preserve"> </w:t>
      </w:r>
      <w:r>
        <w:rPr>
          <w:rFonts w:ascii="Times New Roman;serif" w:hAnsi="Times New Roman;serif"/>
          <w:b w:val="false"/>
          <w:color w:val="000000"/>
          <w:sz w:val="20"/>
        </w:rPr>
        <w:t>for additional details on the adoption of ASU 2023-09.</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effective income tax rate for the year ended December 31, 2025, differs from the statutory federal income tax rate as follows (in thousands, except percentages):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16840"/>
                <wp:effectExtent l="0" t="0" r="0" b="0"/>
                <wp:wrapNone/>
                <wp:docPr id="208" name="Frame2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198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8184" w:type="dxa"/>
        <w:jc w:val="left"/>
        <w:tblInd w:w="0" w:type="dxa"/>
        <w:tblLayout w:type="fixed"/>
        <w:tblCellMar>
          <w:top w:w="28" w:type="dxa"/>
          <w:left w:w="28" w:type="dxa"/>
          <w:bottom w:w="28" w:type="dxa"/>
          <w:right w:w="28" w:type="dxa"/>
        </w:tblCellMar>
      </w:tblPr>
      <w:tblGrid>
        <w:gridCol w:w="1795"/>
        <w:gridCol w:w="1574"/>
        <w:gridCol w:w="1581"/>
        <w:gridCol w:w="109"/>
        <w:gridCol w:w="109"/>
        <w:gridCol w:w="109"/>
        <w:gridCol w:w="256"/>
        <w:gridCol w:w="1060"/>
        <w:gridCol w:w="142"/>
        <w:gridCol w:w="142"/>
        <w:gridCol w:w="142"/>
        <w:gridCol w:w="142"/>
        <w:gridCol w:w="314"/>
        <w:gridCol w:w="316"/>
        <w:gridCol w:w="393"/>
      </w:tblGrid>
      <w:tr>
        <w:trPr/>
        <w:tc>
          <w:tcPr>
            <w:tcW w:w="1795"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 at U.S. federal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(123,648)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State and local income taxes, net of federal benefit</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3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Effect of cross-border tax laws: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Global Intangible Low-Taxed Income ("GILTI")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5,913 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Foreign Tax Effects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0.49 </w:t>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Tax credits: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("R&amp;D")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3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24,985 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w:t>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Non-taxable or non-deductible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4,582 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(0.78)</w:t>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taxed at the partner level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75,552 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(12.83)</w:t>
            </w:r>
          </w:p>
        </w:tc>
        <w:tc>
          <w:tcPr>
            <w:tcW w:w="3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Tax Status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9,057 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3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(benefit from) provision for income taxes and 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(5,987)</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184" w:type="dxa"/>
            <w:gridSpan w:val="15"/>
            <w:tcBorders/>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r>
      <w:tr>
        <w:trPr/>
        <w:tc>
          <w:tcPr>
            <w:tcW w:w="818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 State taxes in New York and California made up the majority (greater than 50%) of the tax effect in this category.</w:t>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As previously disclosed for the </w:t>
      </w:r>
      <w:r>
        <w:rPr>
          <w:rFonts w:ascii="Times New Roman;serif" w:hAnsi="Times New Roman;serif"/>
          <w:b w:val="false"/>
          <w:color w:val="000000"/>
          <w:sz w:val="20"/>
        </w:rPr>
        <w:t>years ended December 31, 2024 and 2023, prior to the adoption of ASU 2023-09, the effective income tax rate</w:t>
      </w:r>
      <w:r>
        <w:rPr>
          <w:color w:val="000000"/>
          <w:shd w:fill="FFFFFF" w:val="clear"/>
        </w:rPr>
        <w:t xml:space="preserve"> </w:t>
      </w:r>
      <w:r>
        <w:rPr>
          <w:rFonts w:ascii="Times New Roman;serif" w:hAnsi="Times New Roman;serif"/>
          <w:b w:val="false"/>
          <w:color w:val="000000"/>
          <w:sz w:val="20"/>
          <w:shd w:fill="FFFFFF" w:val="clear"/>
        </w:rPr>
        <w:t>differs from the statutory federal income tax rate as follows:</w:t>
      </w:r>
    </w:p>
    <w:p>
      <w:pPr>
        <w:pStyle w:val="TextBody"/>
        <w:bidi w:val="0"/>
        <w:spacing w:before="0" w:after="0"/>
        <w:jc w:val="both"/>
        <w:rPr/>
      </w:pPr>
      <w:r>
        <w:rPr/>
      </w:r>
    </w:p>
    <w:tbl>
      <w:tblPr>
        <w:tblW w:w="6230" w:type="dxa"/>
        <w:jc w:val="left"/>
        <w:tblInd w:w="0" w:type="dxa"/>
        <w:tblLayout w:type="fixed"/>
        <w:tblCellMar>
          <w:top w:w="28" w:type="dxa"/>
          <w:left w:w="28" w:type="dxa"/>
          <w:bottom w:w="28" w:type="dxa"/>
          <w:right w:w="28" w:type="dxa"/>
        </w:tblCellMar>
      </w:tblPr>
      <w:tblGrid>
        <w:gridCol w:w="1278"/>
        <w:gridCol w:w="1121"/>
        <w:gridCol w:w="1126"/>
        <w:gridCol w:w="314"/>
        <w:gridCol w:w="316"/>
        <w:gridCol w:w="419"/>
        <w:gridCol w:w="178"/>
        <w:gridCol w:w="178"/>
        <w:gridCol w:w="178"/>
        <w:gridCol w:w="314"/>
        <w:gridCol w:w="316"/>
        <w:gridCol w:w="492"/>
      </w:tblGrid>
      <w:tr>
        <w:trPr/>
        <w:tc>
          <w:tcPr>
            <w:tcW w:w="127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 at U.S. statutory rate</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State taxes, net of federal benefit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4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Income not subject to income taxes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(23.07)</w:t>
            </w:r>
          </w:p>
        </w:tc>
        <w:tc>
          <w:tcPr>
            <w:tcW w:w="4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(19.55)</w:t>
            </w:r>
          </w:p>
        </w:tc>
        <w:tc>
          <w:tcPr>
            <w:tcW w:w="4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to return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4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Foreign rate differential</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(0.75)</w:t>
            </w:r>
          </w:p>
        </w:tc>
        <w:tc>
          <w:tcPr>
            <w:tcW w:w="4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4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4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4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4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income tax rate</w:t>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Deferred income taxes reflect the net effects of temporary differences between the carrying amounts of assets and liabilities for financial reporting purposes and the amounts used for income tax purposes. The components of the Company’s deferred tax assets and liabilities consisted of the following (in thousands):</w:t>
      </w:r>
    </w:p>
    <w:p>
      <w:pPr>
        <w:pStyle w:val="TextBody"/>
        <w:bidi w:val="0"/>
        <w:spacing w:before="0" w:after="0"/>
        <w:jc w:val="both"/>
        <w:rPr/>
      </w:pPr>
      <w:r>
        <w:rPr/>
      </w:r>
    </w:p>
    <w:tbl>
      <w:tblPr>
        <w:tblW w:w="4996" w:type="dxa"/>
        <w:jc w:val="left"/>
        <w:tblInd w:w="0" w:type="dxa"/>
        <w:tblLayout w:type="fixed"/>
        <w:tblCellMar>
          <w:top w:w="28" w:type="dxa"/>
          <w:left w:w="28" w:type="dxa"/>
          <w:bottom w:w="28" w:type="dxa"/>
          <w:right w:w="28" w:type="dxa"/>
        </w:tblCellMar>
      </w:tblPr>
      <w:tblGrid>
        <w:gridCol w:w="906"/>
        <w:gridCol w:w="795"/>
        <w:gridCol w:w="803"/>
        <w:gridCol w:w="196"/>
        <w:gridCol w:w="646"/>
        <w:gridCol w:w="109"/>
        <w:gridCol w:w="109"/>
        <w:gridCol w:w="109"/>
        <w:gridCol w:w="109"/>
        <w:gridCol w:w="196"/>
        <w:gridCol w:w="646"/>
        <w:gridCol w:w="109"/>
        <w:gridCol w:w="109"/>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Deferred tax 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Net operating loss carryforward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Unrealized losses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Equity-based compensation</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Capitalized costs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Allowance/provision for losses</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Deferred rent</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16840"/>
                <wp:effectExtent l="0" t="0" r="0" b="0"/>
                <wp:wrapNone/>
                <wp:docPr id="209" name="Frame2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199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5234" w:type="dxa"/>
        <w:jc w:val="left"/>
        <w:tblInd w:w="0" w:type="dxa"/>
        <w:tblLayout w:type="fixed"/>
        <w:tblCellMar>
          <w:top w:w="28" w:type="dxa"/>
          <w:left w:w="28" w:type="dxa"/>
          <w:bottom w:w="28" w:type="dxa"/>
          <w:right w:w="28" w:type="dxa"/>
        </w:tblCellMar>
      </w:tblPr>
      <w:tblGrid>
        <w:gridCol w:w="1040"/>
        <w:gridCol w:w="912"/>
        <w:gridCol w:w="927"/>
        <w:gridCol w:w="227"/>
        <w:gridCol w:w="493"/>
        <w:gridCol w:w="109"/>
        <w:gridCol w:w="109"/>
        <w:gridCol w:w="109"/>
        <w:gridCol w:w="109"/>
        <w:gridCol w:w="196"/>
        <w:gridCol w:w="631"/>
        <w:gridCol w:w="109"/>
        <w:gridCol w:w="109"/>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Other</w:t>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18"/>
              </w:rPr>
              <w:t>Gross deferred tax assets</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18"/>
              </w:rPr>
              <w:t>Less: valuation allowance</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18"/>
              </w:rPr>
              <w:t>Total deferred tax assets</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Deferred tax liabilities:</w:t>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Unrealized gains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Intangibles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Other</w:t>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18"/>
              </w:rPr>
              <w:t>Total deferred tax liabilities</w:t>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         </w:t>
            </w:r>
            <w:r>
              <w:rPr>
                <w:rFonts w:ascii="Times New Roman;serif" w:hAnsi="Times New Roman;serif"/>
                <w:b w:val="false"/>
                <w:color w:val="000000"/>
                <w:sz w:val="18"/>
              </w:rPr>
              <w:t>Net deferred tax asset (liability)</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assessing the realizability of deferred tax assets, the Company, as of each reporting date, considers new evidence, both positive and negative, that could affect its view of the future realization of deferred tax assets. Based on this evaluation, the Company has determined that it is not more-likely-than-not that its deferred tax assets will be realized, and has recorded a full valuation allowance against its deferred tax assets (with the exception of a small portion of foreign deferred tax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valuation allowance increased by $32.3 million and $3.5 million during 2025 and 2024, respectively, as a result of the change in tax status as well as current year taxable losses.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had approximately $118.8 million of US federal net operating losses during December 31, 2025, which do not have an expiration date. The Company has approximately $90.3 million of US state and local net operating losses during December 31, 2025, which begin to expire in 2037. The Company has approximately $1.9 million of non-US net operating losses during December 31, 2025, which begin to expire in 2041.</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paid during the period for income taxes consisted of the following (in thousands):</w:t>
      </w:r>
    </w:p>
    <w:p>
      <w:pPr>
        <w:pStyle w:val="TextBody"/>
        <w:bidi w:val="0"/>
        <w:spacing w:before="0" w:after="0"/>
        <w:jc w:val="both"/>
        <w:rPr/>
      </w:pPr>
      <w:r>
        <w:rPr/>
      </w:r>
    </w:p>
    <w:tbl>
      <w:tblPr>
        <w:tblW w:w="3688" w:type="dxa"/>
        <w:jc w:val="left"/>
        <w:tblInd w:w="0" w:type="dxa"/>
        <w:tblLayout w:type="fixed"/>
        <w:tblCellMar>
          <w:top w:w="28" w:type="dxa"/>
          <w:left w:w="28" w:type="dxa"/>
          <w:bottom w:w="28" w:type="dxa"/>
          <w:right w:w="28" w:type="dxa"/>
        </w:tblCellMar>
      </w:tblPr>
      <w:tblGrid>
        <w:gridCol w:w="309"/>
        <w:gridCol w:w="272"/>
        <w:gridCol w:w="275"/>
        <w:gridCol w:w="196"/>
        <w:gridCol w:w="406"/>
        <w:gridCol w:w="109"/>
        <w:gridCol w:w="109"/>
        <w:gridCol w:w="109"/>
        <w:gridCol w:w="109"/>
        <w:gridCol w:w="196"/>
        <w:gridCol w:w="406"/>
        <w:gridCol w:w="109"/>
        <w:gridCol w:w="109"/>
        <w:gridCol w:w="109"/>
        <w:gridCol w:w="109"/>
        <w:gridCol w:w="196"/>
        <w:gridCol w:w="406"/>
        <w:gridCol w:w="154"/>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18"/>
              </w:rPr>
              <w:t>Federal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18"/>
              </w:rPr>
              <w:t>State</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18"/>
              </w:rPr>
              <w:t>Foreign</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18"/>
              </w:rPr>
              <w:t>Total</w:t>
            </w:r>
          </w:p>
        </w:tc>
        <w:tc>
          <w:tcPr>
            <w:tcW w:w="6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taxes paid (net of refunds) exceeded 5 percent of total income taxes paid (net of refunds) in the following jurisdictions: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16840"/>
                <wp:effectExtent l="0" t="0" r="0" b="0"/>
                <wp:wrapNone/>
                <wp:docPr id="210" name="Frame2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200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6479" w:type="dxa"/>
        <w:jc w:val="left"/>
        <w:tblInd w:w="0" w:type="dxa"/>
        <w:tblLayout w:type="fixed"/>
        <w:tblCellMar>
          <w:top w:w="28" w:type="dxa"/>
          <w:left w:w="28" w:type="dxa"/>
          <w:bottom w:w="28" w:type="dxa"/>
          <w:right w:w="28" w:type="dxa"/>
        </w:tblCellMar>
      </w:tblPr>
      <w:tblGrid>
        <w:gridCol w:w="1558"/>
        <w:gridCol w:w="1365"/>
        <w:gridCol w:w="1397"/>
        <w:gridCol w:w="620"/>
        <w:gridCol w:w="1049"/>
        <w:gridCol w:w="490"/>
      </w:tblGrid>
      <w:tr>
        <w:trPr/>
        <w:tc>
          <w:tcPr>
            <w:tcW w:w="1558"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State</w:t>
            </w:r>
          </w:p>
        </w:tc>
        <w:tc>
          <w:tcPr>
            <w:tcW w:w="2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18"/>
              </w:rPr>
              <w:t>New York</w:t>
            </w:r>
          </w:p>
        </w:tc>
        <w:tc>
          <w:tcPr>
            <w:tcW w:w="6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18"/>
              </w:rPr>
              <w:t>Texas</w:t>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Foreign</w:t>
            </w:r>
          </w:p>
        </w:tc>
        <w:tc>
          <w:tcPr>
            <w:tcW w:w="2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18"/>
              </w:rPr>
              <w:t>India</w:t>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18"/>
              </w:rPr>
              <w:t>Ireland</w:t>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18"/>
              </w:rPr>
              <w:t>Singapore</w:t>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18"/>
              </w:rPr>
              <w:t>United Kingdom</w:t>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*Jurisdictions below the threshold for the period presented.</w:t>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does not have any unrecognized tax benefits as of the reporting date. It is the Company's policy to recognize interest and penalties related to uncertain tax benefits on the interest expense line and other expense line, respectively, in the accompanying consolidated statements of operations. Accrued interest and penalties are included on the related liability lines in the consolidated balance sheets.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not provided foreign withholding taxes on the undistributed earnings of its foreign subsidiaries as of December 31, 2025, because, at the time, the Company had intended to permanently reinvest such earnings outside of the U.S. If these foreign earnings were to be repatriated in the future, the related U.S. tax liability will be immaterial, due to the participation exemption put in place by the 2017 Tax Act.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and its Income Taxed Affiliates file income taxes in the U.S. federal, state and local and various foreign jurisdictions. Generally, the returns remain open for three years from the date of filing for federal, state and local and foreign tax examinations. The Company's tax years remain open as early as 2018 for New York and 2021 for US federal and other state and local jurisdictions.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“Act”) was enacted into law. The Act includes significant changes to the U.S. tax code, including restoration of immediate recognition of domestic research and development expenditures and reinstatement of 100% bonus depreciation for qualifying property. The Company has assessed the Act’s impact and concluded that it did not materially affect its effective tax rate for the year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 Net Loss Per Share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the consummation of the Company's IPO, all of the Company's pre-IPO Common Units were reclassified to Class A common stock and Class B common stock. The Company has retroactively adjusted the weighted average shares outstanding prior to the IPO to reflect this reclassification. Accordingly, the consolidated financial statements present all references to common stock and per share data as if the conversion of Common Units into common stock had occurred at the beginning of all periods presented.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basic and diluted net loss per share calculation for Class A common stock and Class B common stock for the years ended December 31, 2025, 2024, and 2023 is presented below (in thousands, except per share amounts):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16840"/>
                <wp:effectExtent l="0" t="0" r="0" b="0"/>
                <wp:wrapNone/>
                <wp:docPr id="211" name="Frame20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201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10205" w:type="dxa"/>
        <w:jc w:val="left"/>
        <w:tblInd w:w="0" w:type="dxa"/>
        <w:tblLayout w:type="fixed"/>
        <w:tblCellMar>
          <w:top w:w="28" w:type="dxa"/>
          <w:left w:w="28" w:type="dxa"/>
          <w:bottom w:w="28" w:type="dxa"/>
          <w:right w:w="28" w:type="dxa"/>
        </w:tblCellMar>
      </w:tblPr>
      <w:tblGrid>
        <w:gridCol w:w="551"/>
        <w:gridCol w:w="458"/>
        <w:gridCol w:w="464"/>
        <w:gridCol w:w="218"/>
        <w:gridCol w:w="848"/>
        <w:gridCol w:w="121"/>
        <w:gridCol w:w="114"/>
        <w:gridCol w:w="114"/>
        <w:gridCol w:w="114"/>
        <w:gridCol w:w="218"/>
        <w:gridCol w:w="847"/>
        <w:gridCol w:w="121"/>
        <w:gridCol w:w="114"/>
        <w:gridCol w:w="114"/>
        <w:gridCol w:w="114"/>
        <w:gridCol w:w="221"/>
        <w:gridCol w:w="758"/>
        <w:gridCol w:w="123"/>
        <w:gridCol w:w="114"/>
        <w:gridCol w:w="114"/>
        <w:gridCol w:w="114"/>
        <w:gridCol w:w="218"/>
        <w:gridCol w:w="847"/>
        <w:gridCol w:w="121"/>
        <w:gridCol w:w="114"/>
        <w:gridCol w:w="114"/>
        <w:gridCol w:w="114"/>
        <w:gridCol w:w="221"/>
        <w:gridCol w:w="758"/>
        <w:gridCol w:w="123"/>
        <w:gridCol w:w="114"/>
        <w:gridCol w:w="114"/>
        <w:gridCol w:w="114"/>
        <w:gridCol w:w="218"/>
        <w:gridCol w:w="845"/>
        <w:gridCol w:w="196"/>
      </w:tblGrid>
      <w:tr>
        <w:trPr/>
        <w:tc>
          <w:tcPr>
            <w:tcW w:w="55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Class B common stock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Class B common stock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B common stock</w:t>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w:t>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(187,550)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(395,263)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(10,289)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(148,257)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(14,980)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(304,695)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Weighted average common stock outstanding, basic and diluted</w:t>
            </w:r>
            <w:r>
              <w:rPr>
                <w:rFonts w:ascii="Times New Roman;serif" w:hAnsi="Times New Roman;serif"/>
                <w:b w:val="false"/>
                <w:color w:val="000000"/>
                <w:sz w:val="12"/>
              </w:rPr>
              <w:t>(1)(2)</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25,468 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common stockholders:</w:t>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9"/>
              </w:rPr>
              <w:t xml:space="preserve">(1) </w:t>
            </w:r>
            <w:r>
              <w:rPr>
                <w:rFonts w:ascii="Times New Roman;serif" w:hAnsi="Times New Roman;serif"/>
                <w:b w:val="false"/>
                <w:color w:val="000000"/>
                <w:sz w:val="14"/>
              </w:rPr>
              <w:t>Prior to the IPO, the Common Units outstanding excludes 25,256,004 and 24,485,635 Common Units and 9,417,617 and 9,426,525 Catch Up Common Units that were issued and outstanding as profits interest units as of December 31, 2024 and 2023, respectively. Vested Incentive Units and Convertible Preferred Units are considered as participating securities. However, these participating securities do not contractually require the holders to fund loss and were excluded from basic net loss per unit calculation for the years ended December 31, 2024 and 2023. Upon the consummation of the IPO, these units were fully converted into Class A common stock and Class B common stock and no longer outstanding.</w:t>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9"/>
              </w:rPr>
              <w:t xml:space="preserve">(2) </w:t>
            </w:r>
            <w:r>
              <w:rPr>
                <w:rFonts w:ascii="Times New Roman;serif" w:hAnsi="Times New Roman;serif"/>
                <w:b w:val="false"/>
                <w:color w:val="000000"/>
                <w:sz w:val="14"/>
              </w:rPr>
              <w:t>Prior to the IPO, weighted average common units outstanding includes only Capital Common Units A and certain Basic Common Units granted directly to individuals. The rights, including the liquidation and dividend rights, of the holders of these certain Basic Common Units and Capital Common Units A are identical and as a result, the undistributed earnings loss are allocated on a proportionate basis and the resulting loss per share is the same. Upon the IPO, these units were fully reclassified into Class A common stock and Class B common stock and no longer outstanding. The effect of this reclassification is retroactively applied in the periods prior to the IPO.</w:t>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When calculating diluted net loss per share, the Company determined no adjustments to basic net loss per share were required. Prior to the Company's IPO, potentially dilutive securities included Convertible Preferred Units, Convertible Notes and Service-Based Common Units, which could be settled in the Company's Common Units. Following the IPO, potentially dilutive securities that may be settled in the Company's Class A common stock include stock-based awards. For the periods presented, these potentially dilutive securities were excluded from the computation of diluted net loss per share for because their effect would have been anti-dilutive, as the Company reported a net loss. Accordingly, the Company did not apply the if-converted method to outstanding Convertible Preferred Units and Convertible Notes or the treasury stock method to the outstanding Service-Based Common Units and stock-based awards. For additional information, please refer to </w:t>
      </w:r>
      <w:r>
        <w:rPr>
          <w:rFonts w:ascii="Times New Roman;serif" w:hAnsi="Times New Roman;serif"/>
          <w:b w:val="false"/>
          <w:i/>
          <w:color w:val="000000"/>
          <w:sz w:val="20"/>
        </w:rPr>
        <w:t>Note 13.</w:t>
      </w:r>
      <w:hyperlink w:anchor="i398e92ff5e2248149c5a58221ea5bce2_163">
        <w:r>
          <w:rPr>
            <w:rStyle w:val="InternetLink"/>
            <w:rFonts w:ascii="Times New Roman;serif" w:hAnsi="Times New Roman;serif"/>
            <w:b w:val="false"/>
            <w:i/>
            <w:strike w:val="false"/>
            <w:dstrike w:val="false"/>
            <w:color w:val="000000"/>
            <w:sz w:val="20"/>
            <w:u w:val="none"/>
            <w:effect w:val="none"/>
          </w:rPr>
          <w:t xml:space="preserve"> Related Party Loans and Convertible Notes</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Note 17.</w:t>
      </w:r>
      <w:r>
        <w:rPr>
          <w:color w:val="000000"/>
        </w:rPr>
        <w:t xml:space="preserve"> </w:t>
      </w:r>
      <w:r>
        <w:rPr>
          <w:rFonts w:ascii="Times New Roman;serif" w:hAnsi="Times New Roman;serif"/>
          <w:b w:val="false"/>
          <w:i/>
          <w:color w:val="000000"/>
          <w:sz w:val="20"/>
        </w:rPr>
        <w:t>Preferred Units &amp; Preferred Stock</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Note 18. Stock-Based Compensation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potentially dilutive units were not included in the computation of diluted shares outstanding as the effect would have been antidilutive (in thousands):</w:t>
      </w:r>
    </w:p>
    <w:p>
      <w:pPr>
        <w:pStyle w:val="TextBody"/>
        <w:bidi w:val="0"/>
        <w:spacing w:before="0" w:after="0"/>
        <w:jc w:val="both"/>
        <w:rPr/>
      </w:pPr>
      <w:r>
        <w:rPr/>
      </w:r>
    </w:p>
    <w:tbl>
      <w:tblPr>
        <w:tblW w:w="6303" w:type="dxa"/>
        <w:jc w:val="left"/>
        <w:tblInd w:w="0" w:type="dxa"/>
        <w:tblLayout w:type="fixed"/>
        <w:tblCellMar>
          <w:top w:w="28" w:type="dxa"/>
          <w:left w:w="28" w:type="dxa"/>
          <w:bottom w:w="28" w:type="dxa"/>
          <w:right w:w="28" w:type="dxa"/>
        </w:tblCellMar>
      </w:tblPr>
      <w:tblGrid>
        <w:gridCol w:w="1085"/>
        <w:gridCol w:w="954"/>
        <w:gridCol w:w="961"/>
        <w:gridCol w:w="323"/>
        <w:gridCol w:w="323"/>
        <w:gridCol w:w="156"/>
        <w:gridCol w:w="140"/>
        <w:gridCol w:w="140"/>
        <w:gridCol w:w="140"/>
        <w:gridCol w:w="323"/>
        <w:gridCol w:w="323"/>
        <w:gridCol w:w="156"/>
        <w:gridCol w:w="140"/>
        <w:gridCol w:w="140"/>
        <w:gridCol w:w="140"/>
        <w:gridCol w:w="323"/>
        <w:gridCol w:w="323"/>
        <w:gridCol w:w="213"/>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Preferred Units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39,842 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Service-Based Common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RSAs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RSUs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18,696 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39,842 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40,148 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16840"/>
                <wp:effectExtent l="0" t="0" r="0" b="0"/>
                <wp:wrapNone/>
                <wp:docPr id="212" name="Frame20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202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of December 31, 2024, the Company had Convertible Notes with a fair value of $248.8 million, which were convertible, at the option of the holder upon maturity, into Series B Units at a price equal to 80% of the lowest original issue price per unit of the Series B Units. The underlying Series B Units were subsequently convertible into Common Units on a one-for-one basis. Please refer to </w:t>
      </w:r>
      <w:r>
        <w:rPr>
          <w:rFonts w:ascii="Times New Roman;serif" w:hAnsi="Times New Roman;serif"/>
          <w:b w:val="false"/>
          <w:i/>
          <w:color w:val="000000"/>
          <w:sz w:val="20"/>
        </w:rPr>
        <w:t>Note 13.</w:t>
      </w:r>
      <w:hyperlink w:anchor="i398e92ff5e2248149c5a58221ea5bce2_163">
        <w:r>
          <w:rPr>
            <w:rStyle w:val="InternetLink"/>
            <w:rFonts w:ascii="Times New Roman;serif" w:hAnsi="Times New Roman;serif"/>
            <w:b w:val="false"/>
            <w:i/>
            <w:strike w:val="false"/>
            <w:dstrike w:val="false"/>
            <w:color w:val="000000"/>
            <w:sz w:val="20"/>
            <w:u w:val="none"/>
            <w:effect w:val="none"/>
          </w:rPr>
          <w:t xml:space="preserve"> Related Party Loans and Convertible Notes</w:t>
        </w:r>
      </w:hyperlink>
      <w:r>
        <w:rPr>
          <w:color w:val="000000"/>
        </w:rPr>
        <w:t xml:space="preserve"> </w:t>
      </w:r>
      <w:r>
        <w:rPr>
          <w:rFonts w:ascii="Times New Roman;serif" w:hAnsi="Times New Roman;serif"/>
          <w:b w:val="false"/>
          <w:color w:val="000000"/>
          <w:sz w:val="20"/>
        </w:rPr>
        <w:t>for additional information. Upon the consummation of the IPO, all Convertible Notes were fully converted into shares of Class B common stock and are no longer outstanding.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21. Related Party Transactions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Services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2017, the Company entered into an amended services agreement with Winklevoss Capital Management, LLC (“WCM”), a related party through common ownership, pursuant to which WCM provided management and consulting services to the Company (the “Services Agreement”). Fees under the Services Agreement were based on an allocation of WCM employee compensation proportional to WCM employee time spent providing services to the Company. The Company incurred expenses of $1.0 million, $0, and less than $0.1 million under this agreement during the years ended December 31, 2025, 2024 and 2023, respectively. These expenses were classified as General and administrative on the consolidated statements of operations and comprehensive loss. The Services Agreement was terminated in August 2025. There were no outstanding amounts related to WCM included in Accrued expenses as of both December 31, 2025 and 2024 on the consolidated balance sheets.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Computer services and storage facilities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2017, the Company entered into an agreement with Elysian Networks, LLC (“Elysian”), a related party through common ownership, pursuant to which Elysian provided equipment leasing, cloud based servers, data storage and computer processing services to the Company. The Company incurred expenses of $0.8 million, $0.7 million, and $1.7 million under this agreement during the years ended December 31, 2025, 2024 and 2023, respectively. These expenses were classified as Technology on the consolidated statements of operations and comprehensive loss. Amounts outstanding of $0 and $0.1 million were included in Accrued expenses as of December 31, 2025 and 2024, respectively, on the consolidated balance sheets. The agreement with Elysian was terminated in August 2025, and no further expenses have been incurred or payments made pursuant to the agreement thereafter.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2017, the Company also entered into an agreement with Salient Systems, LLC (“Salient”), a related party through common ownership, pursuant to which Salient provided data center leased space, cloud based computing and internet connectivity services to the Company. The Company did not incur any expenses under this agreement during the years ended December 31, 2025 and 2024, respectively. The Company incurred expenses of less than $0.1 million under this agreement during the year ended December 31, 2023. These expenses were classified as General and administrative on the consolidated statements of operations and comprehensive loss. The agreement was terminated during the year ended December 31, 2024 and no amounts were outstanding related to Salient as of December 31, 2025 and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Related party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WCF, a related party through common ownership, accounted for $2.5 million, $2.2 million, and $1.0 million of the Company’s revenue during the years ended December 31, 2025, 2024 and 2023, respectively. WCF accounted for $0.1 million and $0.2 million of the Company’s Accounts receivable, net, for the years ended December 31, 2025 and 2024,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16840"/>
                <wp:effectExtent l="0" t="0" r="0" b="0"/>
                <wp:wrapNone/>
                <wp:docPr id="213" name="Frame20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203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Related party loans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13.</w:t>
      </w:r>
      <w:hyperlink w:anchor="i398e92ff5e2248149c5a58221ea5bce2_163">
        <w:r>
          <w:rPr>
            <w:rStyle w:val="InternetLink"/>
            <w:rFonts w:ascii="Times New Roman;serif" w:hAnsi="Times New Roman;serif"/>
            <w:b w:val="false"/>
            <w:i/>
            <w:strike w:val="false"/>
            <w:dstrike w:val="false"/>
            <w:color w:val="000000"/>
            <w:sz w:val="20"/>
            <w:u w:val="none"/>
            <w:effect w:val="none"/>
          </w:rPr>
          <w:t xml:space="preserve"> Related Party Loans and Convertible Notes</w:t>
        </w:r>
      </w:hyperlink>
      <w:r>
        <w:rPr>
          <w:rFonts w:ascii="Times New Roman;serif" w:hAnsi="Times New Roman;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556" w:before="0" w:after="0"/>
        <w:jc w:val="both"/>
        <w:rPr>
          <w:rFonts w:ascii="Times New Roman;serif" w:hAnsi="Times New Roman;serif"/>
          <w:b/>
          <w:color w:val="000000"/>
          <w:sz w:val="20"/>
        </w:rPr>
      </w:pPr>
      <w:r>
        <w:rPr>
          <w:rFonts w:ascii="Times New Roman;serif" w:hAnsi="Times New Roman;serif"/>
          <w:b/>
          <w:color w:val="000000"/>
          <w:sz w:val="20"/>
        </w:rPr>
        <w:t>22. Commitments and Contingencies</w:t>
      </w:r>
    </w:p>
    <w:p>
      <w:pPr>
        <w:pStyle w:val="TextBody"/>
        <w:bidi w:val="0"/>
        <w:spacing w:lineRule="auto" w:line="556" w:before="0" w:after="0"/>
        <w:jc w:val="both"/>
        <w:rPr>
          <w:rFonts w:ascii="Times New Roman;serif" w:hAnsi="Times New Roman;serif"/>
          <w:b w:val="false"/>
          <w:i/>
          <w:color w:val="000000"/>
          <w:sz w:val="20"/>
        </w:rPr>
      </w:pPr>
      <w:r>
        <w:rPr>
          <w:rFonts w:ascii="Times New Roman;serif" w:hAnsi="Times New Roman;serif"/>
          <w:b w:val="false"/>
          <w:i/>
          <w:color w:val="000000"/>
          <w:sz w:val="20"/>
        </w:rPr>
        <w:t>Credit card receivables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partnership with a credit card issuing bank (the “Issuing Bank”), the Company offers a credit card product to its customers. Under the terms of the program agreement, the Company is required to purchase from the Issuing Bank all credit card receivables originated under the program and offered for sale to the Company. The Company may also be required to repurchase certain receivables in the event of identity theft or other fraud and receivables that become more than 90 days delinquent, subject to the terms of the agreement.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Credit card receivables purchased under this arrangement are recorded on the Company’s consolidated balance sheets upon transfer. As of December 31, 2025 and 2024, the Company had purchased all credit card receivables of $219.8 million and $65.8 million, respectively, from the Issuing Bank. Certain credit card receivables are pledged as collateral under Company's Ripple Credit Agreement (see </w:t>
      </w:r>
      <w:r>
        <w:rPr>
          <w:rFonts w:ascii="Times New Roman;serif" w:hAnsi="Times New Roman;serif"/>
          <w:b w:val="false"/>
          <w:i/>
          <w:color w:val="000000"/>
          <w:sz w:val="20"/>
        </w:rPr>
        <w:t>Note 15. Funding Debt</w:t>
      </w:r>
      <w:r>
        <w:rPr>
          <w:rFonts w:ascii="Times New Roman;serif" w:hAnsi="Times New Roman;serif"/>
          <w:b w:val="false"/>
          <w:color w:val="000000"/>
          <w:sz w:val="20"/>
        </w:rPr>
        <w:t>). As of December 31, 2025 and 2024, the carrying value of pledged credit card receivables was $188.8 million and $0, respectively.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agreement creates an ongoing commitment for the Company to purchase future receivables as they are originated. The amount of future purchases will fluctuate based on customer activity, credit card usage, and credit performance. The Company believes it maintains sufficient liquidity to fund these purchases as they become due.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Legal and regulatory matters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and may in the future be involved in, various litigation matters, legal claims, investigations, and regulatory proceedings arising in the ordinary course of business. In accordance with applicable accounting guidance, the Company accrues for loss contingencies when management determines that it is both probable that losses have been incurred and that the losses can be reasonably estimable. The Company accrued $1.0 million and $6.1 million in estimated loss contingencies as of December 31, 2025 and 2024, respectively, which are included in Accrued expenses on the consolidated balance sheets.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estimated loss contingencies relate to any unsettled matters in which management has determined that a loss is probable and reasonably estimable. With respect to these matters, management believes losses in excess of amounts accrued, if any, are reasonably possible but cannot be reasonably estimated based on current available information. The Company disputes these claims and intends to defend these matters vigorously.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Earn-Related Litigation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12, 2023, the Securities and Exchange Commission (the “SEC”) charged Gemini Trust Company, LLC (“GTC”), a wholly-owned subsidiary of the Company, for the unregistered offer and sale of securities to retail investors through GTC's facilitation of a program “Earn” that allowed customers to earn interest by lending their crypto assets to a third party partner, Genesis. The SEC’s complaint alleged that the Earn program constituted an offer and sale of securities under applicable law and should have been registered with the SEC. Genesis, which was also named in this complaint, entered into a settlement with the SEC. On April 2, 2025, the U.S. District Court for the Southern District of New York (the “SDNY”) ordered a 60-day stay, as requested by the parties, to explore a potential resolution, which stay was later extended until September 15, 2025. On September 12, 2025, the parties notified SDNY that they had reached a resolution in principle and would provide final paperwork for the resolution by December 15, 2025. On December 15, 2025, the parties filed another status report requesting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16840"/>
                <wp:effectExtent l="0" t="0" r="0" b="0"/>
                <wp:wrapNone/>
                <wp:docPr id="214" name="Frame20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204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pPr>
      <w:r>
        <w:rPr>
          <w:rFonts w:ascii="Times New Roman;serif" w:hAnsi="Times New Roman;serif"/>
          <w:b w:val="false"/>
          <w:color w:val="000000"/>
          <w:sz w:val="20"/>
        </w:rPr>
        <w:t xml:space="preserve">continuation of the stay due to the government shutdown, and suggesting that the parties would file paperwork for the resolution by January 26, 2026. See </w:t>
      </w:r>
      <w:r>
        <w:rPr>
          <w:rFonts w:ascii="Times New Roman;serif" w:hAnsi="Times New Roman;serif"/>
          <w:b w:val="false"/>
          <w:i/>
          <w:color w:val="000000"/>
          <w:sz w:val="20"/>
        </w:rPr>
        <w:t xml:space="preserve">Note 23. Subsequent Events </w:t>
      </w:r>
      <w:r>
        <w:rPr>
          <w:rFonts w:ascii="Times New Roman;serif" w:hAnsi="Times New Roman;serif"/>
          <w:b w:val="false"/>
          <w:color w:val="000000"/>
          <w:sz w:val="20"/>
        </w:rPr>
        <w:t>for further details.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Described below are certain matters associated with Earn, totaling $137.0 million in expenses, which GTC has settled as of December 31, 2024. GTC fully accrued for these items as of December 31, 2023 and as a result there was no additional loss recorded in the consolidated statements of operations and comprehensive loss for the years ended December 31, 2025 and 2024. There is corresponding activity recorded in the statement of cash flows for the year ended December 31, 2024.</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19, 2023, GTC was named as a defendant in a lawsuit brought by the New York Attorney General (“NYAG”) against GTC and various other external parties, including but not limited to Genesis and its parent company Digital Currency Group Inc. (“DCG”), alleging violations and misrepresentations in connection with GTC's Earn program. On June 14, 2024, GTC entered into a settlement agreement with the NYAG that required GTC to distribute approximately $50.0 million (i.e., approximately 3% of in-kind assets) as described below.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28, 2024, GTC entered into a settlement with the NYSDFS (“Consent Order”) that required GTC to contribute $40.0 million to Earn users’ recovery. Additionally, GTC paid a civil monetary penalty of $37.0 million related primarily to the Earn program. GTC paid the $37.0 million of civil monetary penalty to the NYSDFS on March 11, 2024. GTC contributed bitcoin worth $40.0 million, in compliance with the Consent Order, and an additional $10.0 million, in compliance with a settlement agreement associated with the Genesis bankruptcy, towards the Earn users' recovery.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29, 2024, Gemini Earn users received approximately $2.2 billion of their crypto assets in kind, representing approximately 97% of the proceeds of a stipulated settlement reached between the relevant parties. To expedite closure, on June 20, 2024, GTC distributed the remaining approximately 3% of in-kind assets, worth approximately $50.0 million at the time of the settlement, to Earn users. By stepping in to settle the Earn matters, GTC assumed proprietary right of recovery claims of approximately $50.0 million in addition to the $7.5 million general unsecured creditor claim it already had against Genesis. The aggregate of these amounts was determined to have a book value of $29.5 million, all of which was received in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Commodity Futures Trading Commission Litigation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GTC was the subject of a lawsuit that the Commodity Futures Trading Commission (“CFTC”) filed in the Southern District of New York on June 2, 2022. GTC and the CFTC settled the matter by means of a consent order that was filed on January 6, 2025. In material part, the consent order states that GTC violated Section 6(c)(2) of the Commodity Exchange Act by making certain statements to CFTC staff that GTC reasonably should have known were false or misleading, and GTC also failed to disclose certain facts needed to make its statements not false or misleading. Without admitting or denying liability, GTC agreed to pay a $5.0 million civil monetary penalty, and to be permanently enjoined from making false or misleading statements or omitting to state material facts to the CFTC.</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also subject to other matters for which it is unable to reasonably estimate a possible range of loss, if any. While the outcome of these matters is inherently uncertain and adverse decisions or settlements may occur from time to time, the Company does not currently believe that the ultimate resolution of any such matters will have a material adverse effect on its consolidated results of operations, financial position, or liquidity. However, the resolution of one or more of these matters could be material to the Company’s operating results for a particular reporting period, and the Company cannot provide assurance regarding their ultimate outcome.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16840"/>
                <wp:effectExtent l="0" t="0" r="0" b="0"/>
                <wp:wrapNone/>
                <wp:docPr id="215" name="Frame20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205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23. Subsequent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Related Party Transactions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1, 2026, the Company entered into a services agreement with WCM, a related party through common ownership, to provide executive security services to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Nifty Gateway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23, 2026, the Company publicly announced the discontinuation of its Nifty Gateway NFT marketplace. The Company had initiated an orderly wind-down of Nifty Gateway in December 2025, and such wind-down activities did not have a material impact on the Company’s consolidated financial statements for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Earn-Related Litigation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Final paperwork for the resolution of this action, in which the parties agreed to dismiss the case without any monetary settlement or other relief of any kind, was filed on January 23, 2026. On January 28, 2026, the SEC dismissed its action against GTC. The parties reached a resolution under which the action was dismissed without any payment by GTC, and the court ordered the matter closed.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Exit and Wind-Down Plan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4, 2026, Company approved a plan to exit and wind down its operations in the United Kingdom, the European Union and other European jurisdictions, and Australia (the “Plan”). The Company’s operations will continue in the United States and Singapore. The Plan was approved as part of an initiative to reduce operating expenses and support the Company’s path to profitability.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Plan is expected to include a reduction in force of up to approximately 200 employees. The Company expects the Plan to be substantially completed in the first half of 2026, subject to applicable local law and consultation requirements.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Plan, the Company currently estimates that it will incur pre-tax restructuring and related charges of approximately $10.9 million, substantially all of which are expected to result in cash expenditures. The Company expects to recognize substantially all of these charges in the first quarter of 2026. Actual amounts and timing may differ due to local law and consultation requirements and other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17, 2026, the Company announced that Marshall Beard, Chief Operating Officer, Dan Chen, Chief Financial Officer, and Tyler Meade, Chief Legal Officer, ceased serving in their respective roles, effective February 17, 2026. In addition, Mr. Beard resigned from the Company’s Board of Directors effective as of such date.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February 17, 2026, the Board of Directors appointed Danijela Stojanovic as Interim Chief Financial Officer.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29, 2026, in connection with the terminations by the Company, which were not for cause, the Company entered into separation agreements with Messrs. Beard, Chen, and Meade. These agreements waive any rights under the applicable Executive Employment Agreement, the Senior Executive Severance Plan,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16840"/>
                <wp:effectExtent l="0" t="0" r="0" b="0"/>
                <wp:wrapNone/>
                <wp:docPr id="216" name="Frame20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206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Consolidated Financial Statements</w:t>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Executive Severance Plan, and provide for continued base salary and vesting of time-based equity awards for three months with respect to Messrs. Beard and Meade and one month for Mr. Chen. The Company will recognize the financial impact of these arrangements in the period in which the agreements were executed.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Crypto Asset Loan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March 5, 2026, following approval from the New York Department of Financial Services to release a portion of the Company's crypto assets maintained for regulatory capital purposes, the Company received notices of partial repayment demands from WCF demanding repayment of 1,750 BTC under the 5,000 BTC loan agreement. The Company completed repayments by the end of the following business day, as stated per the terms of the notice. These loans are disclosed in </w:t>
      </w:r>
      <w:r>
        <w:rPr>
          <w:rFonts w:ascii="Times New Roman;serif" w:hAnsi="Times New Roman;serif"/>
          <w:b w:val="false"/>
          <w:i/>
          <w:color w:val="000000"/>
          <w:sz w:val="20"/>
        </w:rPr>
        <w:t>Note 13. Related Party Loans and Convertible Notes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Subsequently, on March 18, 2026, the Company borrowed 822 BTC from WCF and pledged as collateral in connection with margin requirements on the third party loan with NYDIG, which reduced the amount of cash collateral required.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Securities Class Action Litigation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18, 2026, a putative securities class action complaint was filed in the U.S. District Court for the Southern District of New York against the Company, certain of its current and former officers, and its directors. The complaint alleges violations of Sections 11 and 15 of the Securities Act of 1933, as amended, and Sections 10(b) and 20(a) of the Securities Exchange Act of 1934, as amended, based on alleged materially false or misleading statements and omissions in the Company’s registration statement and prospectus issued in connection with its initial public offering, as well as certain subsequent public disclosures. The plaintiff seeks, among other relief, compensatory damages, pre- and post-judgment interest, and attorneys’ fees and costs. The Company intends to vigorously defend against the claims. Based on the preliminary stage of the proceeding, the Company is unable to predict the outcome of this matter.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16840"/>
                <wp:effectExtent l="0" t="0" r="0" b="0"/>
                <wp:wrapNone/>
                <wp:docPr id="217" name="Frame20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207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Interim Chief Financial Officer, has evaluated the effectiveness of our disclosure controls and procedures (as defined in Rules 13a- 15(e) and 15d- 15(e) under the Securities Exchange Act of 1934, as amended, or the Exchange Act), as of the end of the period covered by this Annual Report on Form 10-K. Based on such evaluation, our Chief Executive Officer and Interim Chief Financial Officer have concluded that as of such date, our disclosure controls and procedures were not effective at the reasonable assurance level due to the material weaknesses in our internal control over financial reporting previously identified and disclosed in our registration statement on Form S-1 (File No. 333-289665), which was declared effective by the SEC on September 11, 2025.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material weaknesses identified pertain to the following: (i) we did not maintain an effective control environment in that a sufficient number of personnel were not available to support an effective financial close process in a timely manner; (ii) we did not maintain an effective risk assessment process, which led to some improperly designed controls; (iii) we did not establish, thoroughly communicate, and monitor certain control processes and relevant accounting policies and procedures; (iv) controls over the digital asset reconciliation between our internal ledger and the public blockchain to address the existence, recording, and safeguarding of digital assets were not effectively designed and implemented and, therefore, did not operate effectively; and (v) we did not properly design and implement controls over the launch of new products, including controls over the reconciliation of digital assets held in corporate accounts and on behalf of customers.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taken and will continue to take actions to remediate these material weaknesses, including hiring additional accounting and finance personnel with financial accounting, stock-based compensation, tax, and reporting expertise; increasing training and education in accounting and reporting requirements for a public company; designing and implementing processes, tools and internal controls over the financial statement close process; strengthening internal controls to align with the Committee of Sponsor Organizations framework and Internal Control over Financial Report standards; enhancing the review of journal entries and account reconciliations, including digital asset reconciliations; and retaining the services of third-party consultants to supplement our technical competencies and expertise. The remediation actions that we are taking are subject to ongoing senior management overview, as well as oversight by the Audit and Risk Committee of our board of directors.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Notwithstanding the ineffective disclosure controls and procedures as a result of the identified material weaknesses that are currently being remediated, our Chief Executive Officer and Interim Chief Financial Officer have concluded that the consolidated financial statements included in this Annual Report on Form 10-K present fairly, in all material respects, the Company's financial position, results of operations and cash flows in accordance with generally accepted accounting principles in the United States.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does not include a report of management’s assessment regarding internal control over financial reporting or an attestation report of our independent registered public accounting firm due to a transition period established by the rules of SEC for newly public companies. In addition, we are an emerging growth company under the Jumpstart Our Business Startups Act of 2012 (the “JOBS Act”) and, therefore, are not required to include an attestation report of our independent registered public accounting firm on internal control over financial reporting for so long as we remain an emerging growth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16840"/>
                <wp:effectExtent l="0" t="0" r="0" b="0"/>
                <wp:wrapNone/>
                <wp:docPr id="218" name="Frame2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208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discussed above, we are implementing our remediation plan related to identified material weaknesses. There were no changes to our internal control over financial reporting (as such term is defined in Rules 13a-15(f) and 15d-15(f) under the Exchange Act) that occurred during the most recently completed fiscal year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Interim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As previously announced, on February 17, 2026, the Company parted ways with Marshall Beard, our former Chief Operating Officer, Dan Chen, our former Chief Financial Officer, and Tyler Meade, our former Chief Legal Officer. On March 29, 2026, in respect of the terminations by the Company which were not for cause, the Company entered into separation agreements with Messrs. Beard, Chen, and Meade, which waive any rights under the applicable Executive Employment Agreement, the Senior Executive Severance Plan and the Executive Severance Plan and provide for continued base salary and vesting of time-based equity awards for three months with respect to Messrs. Beard and Meade and one month for Mr. Chen.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During the three months ended December 31, 2025, no director or Section 16 officer adopted, modified or terminated any Rule 10b5-1 trading arrangements or non-Rule 10b5-1 trading arrangements.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16840"/>
                <wp:effectExtent l="0" t="0" r="0" b="0"/>
                <wp:wrapNone/>
                <wp:docPr id="219" name="Frame2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is incorporated by reference to the definitive Proxy Statement for our 2026 Annual Meeting of Stockholders, which will be filed with the SEC no later than 120 days after December 31, 2025 (the “2026 Proxy Statement”).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2026 Proxy Statement.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2026 Proxy Statement.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2026 Proxy Statement.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2026 Proxy Statement.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16840"/>
                <wp:effectExtent l="0" t="0" r="0" b="0"/>
                <wp:wrapNone/>
                <wp:docPr id="220" name="Frame2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 xml:space="preserve">1.Financial Statements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financial statements are included in Part II, Item 8 of this Annual Report on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Reports of Independent Registered Public Accounting Firm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and Comprehensive Loss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Changes in Convertible Preferred Units and Stockholders' Equity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to the Consolidated Financial Statements</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2.Financial Statement Schedules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schedules have been omitted because the required information is included in the Consolidated Financial Statements or the notes thereto, or because it is not required.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3.Exhibits</w:t>
      </w:r>
    </w:p>
    <w:p>
      <w:pPr>
        <w:pStyle w:val="TextBody"/>
        <w:bidi w:val="0"/>
        <w:spacing w:before="0" w:after="0"/>
        <w:ind w:left="0" w:right="0" w:hanging="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exhibits listed below are filed as part of this Annual Report on Form 10-K or are incorporated herein by reference, in each case as indicated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16840"/>
                <wp:effectExtent l="0" t="0" r="0" b="0"/>
                <wp:wrapNone/>
                <wp:docPr id="221" name="Frame2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211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44"/>
        <w:gridCol w:w="303"/>
        <w:gridCol w:w="304"/>
        <w:gridCol w:w="1873"/>
        <w:gridCol w:w="1696"/>
        <w:gridCol w:w="1701"/>
        <w:gridCol w:w="176"/>
        <w:gridCol w:w="176"/>
        <w:gridCol w:w="177"/>
        <w:gridCol w:w="304"/>
        <w:gridCol w:w="267"/>
        <w:gridCol w:w="174"/>
        <w:gridCol w:w="225"/>
        <w:gridCol w:w="225"/>
        <w:gridCol w:w="226"/>
        <w:gridCol w:w="220"/>
        <w:gridCol w:w="220"/>
        <w:gridCol w:w="222"/>
        <w:gridCol w:w="399"/>
        <w:gridCol w:w="399"/>
        <w:gridCol w:w="574"/>
      </w:tblGrid>
      <w:tr>
        <w:trPr/>
        <w:tc>
          <w:tcPr>
            <w:tcW w:w="3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Exhibit Number</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Description</w:t>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File No.</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Filing Date</w:t>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Filed or Furnished Herewith</w:t>
            </w:r>
          </w:p>
        </w:tc>
      </w:tr>
      <w:tr>
        <w:trPr/>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2.1</w:t>
            </w:r>
          </w:p>
        </w:tc>
        <w:tc>
          <w:tcPr>
            <w:tcW w:w="5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8"/>
                  <w:u w:val="single"/>
                </w:rPr>
                <w:t>Agreement and Plan of Merger, dated as of September 12, 2025, by and between Gemini Astronaut Corps, LLC and Gemini Space Station, Inc.</w:t>
              </w:r>
            </w:hyperlink>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001-42836</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11/10/2025</w:t>
            </w:r>
          </w:p>
        </w:tc>
        <w:tc>
          <w:tcPr>
            <w:tcW w:w="1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2.2</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8"/>
                  <w:u w:val="single"/>
                </w:rPr>
                <w:t xml:space="preserve">Agreement and Plan of Merger, dated as of September 12, 2025, by and among certain blocker entities and Gemini Space Station, Inc. </w:t>
              </w:r>
            </w:hyperlink>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001-42836</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11/10/2025</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2.3</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18"/>
                  <w:u w:val="single"/>
                </w:rPr>
                <w:t>Agreement and Plan of Merger, dated as of September 12, 2025, by and between Gemini Merger Sub, LLC and Gemini Space Station, LLC</w:t>
              </w:r>
            </w:hyperlink>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001-42836</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2.3</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11/10/2025</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18"/>
                  <w:u w:val="single"/>
                </w:rPr>
                <w:t>Amended and Restated Articles of Incorporation of Gemini Space Station, Inc.</w:t>
              </w:r>
            </w:hyperlink>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001-42836</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9/15/2025</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18"/>
                  <w:u w:val="single"/>
                </w:rPr>
                <w:t xml:space="preserve">Amended and Restated Bylaws of Gemini Space Station, Inc. </w:t>
              </w:r>
            </w:hyperlink>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001-42836</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9/15/2025</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18"/>
                  <w:u w:val="single"/>
                </w:rPr>
                <w:t>Form of Class A Common Stock Certificate</w:t>
              </w:r>
            </w:hyperlink>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333-289665</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8/15/2025</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18"/>
                  <w:u w:val="single"/>
                </w:rPr>
                <w:t>Registration Rights Agreement, dated September 12, 2025, by and among Gemini Space Station, Inc. and certain of its stockholders</w:t>
              </w:r>
            </w:hyperlink>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001-42836</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11/10/2025</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descriptionofregistrantsse.htm">
              <w:r>
                <w:rPr>
                  <w:rStyle w:val="InternetLink"/>
                  <w:rFonts w:ascii="Times New Roman;serif" w:hAnsi="Times New Roman;serif"/>
                  <w:b w:val="false"/>
                  <w:color w:val="000080"/>
                  <w:sz w:val="18"/>
                  <w:u w:val="single"/>
                </w:rPr>
                <w:t>D</w:t>
              </w:r>
            </w:hyperlink>
            <w:hyperlink w:anchor="descriptionofregistrantsse.htm">
              <w:r>
                <w:rPr>
                  <w:rStyle w:val="InternetLink"/>
                  <w:rFonts w:ascii="Times New Roman;serif" w:hAnsi="Times New Roman;serif"/>
                  <w:b w:val="false"/>
                  <w:color w:val="000080"/>
                  <w:sz w:val="18"/>
                  <w:u w:val="single"/>
                </w:rPr>
                <w:t>escription of the Registrant's Securities</w:t>
              </w:r>
            </w:hyperlink>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18"/>
                  <w:u w:val="single"/>
                </w:rPr>
                <w:t>Third Amended and Restated Limited Liability Company Agreement of Gemini Space Station, LLC</w:t>
              </w:r>
            </w:hyperlink>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001-42836</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11/10/2025</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18"/>
                  <w:u w:val="single"/>
                </w:rPr>
                <w:t>Credit Agreement, dated as of July 11, 2025, by and among Gemini Capricorn One, LLC, Gemini Constellation, LLC and Ripple Labs Inc.</w:t>
              </w:r>
            </w:hyperlink>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333-289665</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8/15/2025</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irstamendmenttocreditagre.htm">
              <w:r>
                <w:rPr>
                  <w:rStyle w:val="InternetLink"/>
                  <w:rFonts w:ascii="Times New Roman;serif" w:hAnsi="Times New Roman;serif"/>
                  <w:b w:val="false"/>
                  <w:color w:val="000080"/>
                  <w:sz w:val="18"/>
                  <w:u w:val="single"/>
                </w:rPr>
                <w:t>F</w:t>
              </w:r>
            </w:hyperlink>
            <w:hyperlink w:anchor="firstamendmenttocreditagre.htm">
              <w:r>
                <w:rPr>
                  <w:rStyle w:val="InternetLink"/>
                  <w:rFonts w:ascii="Times New Roman;serif" w:hAnsi="Times New Roman;serif"/>
                  <w:b w:val="false"/>
                  <w:color w:val="000080"/>
                  <w:sz w:val="18"/>
                  <w:u w:val="single"/>
                </w:rPr>
                <w:t xml:space="preserve">irst Amendment to </w:t>
              </w:r>
            </w:hyperlink>
            <w:hyperlink w:anchor="firstamendmenttocreditagre.htm">
              <w:r>
                <w:rPr>
                  <w:rStyle w:val="InternetLink"/>
                  <w:rFonts w:ascii="Times New Roman;serif" w:hAnsi="Times New Roman;serif"/>
                  <w:b w:val="false"/>
                  <w:color w:val="000080"/>
                  <w:sz w:val="18"/>
                  <w:u w:val="single"/>
                </w:rPr>
                <w:t>C</w:t>
              </w:r>
            </w:hyperlink>
            <w:hyperlink w:anchor="firstamendmenttocreditagre.htm">
              <w:r>
                <w:rPr>
                  <w:rStyle w:val="InternetLink"/>
                  <w:rFonts w:ascii="Times New Roman;serif" w:hAnsi="Times New Roman;serif"/>
                  <w:b w:val="false"/>
                  <w:color w:val="000080"/>
                  <w:sz w:val="18"/>
                  <w:u w:val="single"/>
                </w:rPr>
                <w:t>redit</w:t>
              </w:r>
            </w:hyperlink>
            <w:hyperlink w:anchor="firstamendmenttocreditagre.htm">
              <w:r>
                <w:rPr>
                  <w:rStyle w:val="InternetLink"/>
                  <w:rFonts w:ascii="Times New Roman;serif" w:hAnsi="Times New Roman;serif"/>
                  <w:b w:val="false"/>
                  <w:color w:val="000080"/>
                  <w:sz w:val="18"/>
                  <w:u w:val="single"/>
                </w:rPr>
                <w:t xml:space="preserve"> Agreement, dated as of August 13, 2025</w:t>
              </w:r>
            </w:hyperlink>
            <w:hyperlink w:anchor="firstamendmenttocreditagre.htm">
              <w:r>
                <w:rPr>
                  <w:rStyle w:val="InternetLink"/>
                  <w:rFonts w:ascii="Times New Roman;serif" w:hAnsi="Times New Roman;serif"/>
                  <w:b w:val="false"/>
                  <w:color w:val="000080"/>
                  <w:sz w:val="18"/>
                  <w:u w:val="single"/>
                </w:rPr>
                <w:t>, by and among Gemini Cap</w:t>
              </w:r>
            </w:hyperlink>
            <w:hyperlink w:anchor="firstamendmenttocreditagre.htm">
              <w:r>
                <w:rPr>
                  <w:rStyle w:val="InternetLink"/>
                  <w:rFonts w:ascii="Times New Roman;serif" w:hAnsi="Times New Roman;serif"/>
                  <w:b w:val="false"/>
                  <w:color w:val="000080"/>
                  <w:sz w:val="18"/>
                  <w:u w:val="single"/>
                </w:rPr>
                <w:t>ricorn</w:t>
              </w:r>
            </w:hyperlink>
            <w:hyperlink w:anchor="firstamendmenttocreditagre.htm">
              <w:r>
                <w:rPr>
                  <w:rStyle w:val="InternetLink"/>
                  <w:rFonts w:ascii="Times New Roman;serif" w:hAnsi="Times New Roman;serif"/>
                  <w:b w:val="false"/>
                  <w:color w:val="000080"/>
                  <w:sz w:val="18"/>
                  <w:u w:val="single"/>
                </w:rPr>
                <w:t xml:space="preserve"> One, LLC, Gemini Constellation, LLC, and Ripple Labs, Inc.</w:t>
              </w:r>
            </w:hyperlink>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5-12x26xamendmenttogem.htm">
              <w:r>
                <w:rPr>
                  <w:rStyle w:val="InternetLink"/>
                  <w:rFonts w:ascii="Times New Roman;serif" w:hAnsi="Times New Roman;serif"/>
                  <w:b w:val="false"/>
                  <w:color w:val="000080"/>
                  <w:sz w:val="18"/>
                  <w:u w:val="single"/>
                </w:rPr>
                <w:t>Second Amendment to Cre</w:t>
              </w:r>
            </w:hyperlink>
            <w:hyperlink w:anchor="a2025-12x26xamendmenttogem.htm">
              <w:r>
                <w:rPr>
                  <w:rStyle w:val="InternetLink"/>
                  <w:rFonts w:ascii="Times New Roman;serif" w:hAnsi="Times New Roman;serif"/>
                  <w:b w:val="false"/>
                  <w:color w:val="000080"/>
                  <w:sz w:val="18"/>
                  <w:u w:val="single"/>
                </w:rPr>
                <w:t>dit</w:t>
              </w:r>
            </w:hyperlink>
            <w:hyperlink w:anchor="a2025-12x26xamendmenttogem.htm">
              <w:r>
                <w:rPr>
                  <w:rStyle w:val="InternetLink"/>
                  <w:rFonts w:ascii="Times New Roman;serif" w:hAnsi="Times New Roman;serif"/>
                  <w:b w:val="false"/>
                  <w:color w:val="000080"/>
                  <w:sz w:val="18"/>
                  <w:u w:val="single"/>
                </w:rPr>
                <w:t xml:space="preserve"> Agreement, </w:t>
              </w:r>
            </w:hyperlink>
            <w:hyperlink w:anchor="a2025-12x26xamendmenttogem.htm">
              <w:r>
                <w:rPr>
                  <w:rStyle w:val="InternetLink"/>
                  <w:rFonts w:ascii="Times New Roman;serif" w:hAnsi="Times New Roman;serif"/>
                  <w:b w:val="false"/>
                  <w:color w:val="000080"/>
                  <w:sz w:val="18"/>
                  <w:u w:val="single"/>
                </w:rPr>
                <w:t xml:space="preserve">dated as of </w:t>
              </w:r>
            </w:hyperlink>
            <w:hyperlink w:anchor="a2025-12x26xamendmenttogem.htm">
              <w:r>
                <w:rPr>
                  <w:rStyle w:val="InternetLink"/>
                  <w:rFonts w:ascii="Times New Roman;serif" w:hAnsi="Times New Roman;serif"/>
                  <w:b w:val="false"/>
                  <w:color w:val="000080"/>
                  <w:sz w:val="18"/>
                  <w:u w:val="single"/>
                </w:rPr>
                <w:t>Decem</w:t>
              </w:r>
            </w:hyperlink>
            <w:hyperlink w:anchor="a2025-12x26xamendmenttogem.htm">
              <w:r>
                <w:rPr>
                  <w:rStyle w:val="InternetLink"/>
                  <w:rFonts w:ascii="Times New Roman;serif" w:hAnsi="Times New Roman;serif"/>
                  <w:b w:val="false"/>
                  <w:color w:val="000080"/>
                  <w:sz w:val="18"/>
                  <w:u w:val="single"/>
                </w:rPr>
                <w:t>ber 26, 2025,</w:t>
              </w:r>
            </w:hyperlink>
            <w:hyperlink w:anchor="a2025-12x26xamendmenttogem.htm">
              <w:r>
                <w:rPr>
                  <w:rStyle w:val="InternetLink"/>
                  <w:rFonts w:ascii="Times New Roman;serif" w:hAnsi="Times New Roman;serif"/>
                  <w:b w:val="false"/>
                  <w:color w:val="000080"/>
                  <w:sz w:val="18"/>
                  <w:u w:val="single"/>
                </w:rPr>
                <w:t xml:space="preserve"> by and among Gemini Capricorn One, LLC, Gemini Constellation, LLC, and Ripple Labs, Inc.</w:t>
              </w:r>
            </w:hyperlink>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10.5^</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18"/>
                  <w:u w:val="single"/>
                </w:rPr>
                <w:t>Master Repurchase Agreement, dated as of July 25, 2025, by and between NYDIG Funding LLC and Gemini Space Station, LLC</w:t>
              </w:r>
            </w:hyperlink>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333-289665</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8/21/2025</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10.6</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18"/>
                  <w:u w:val="single"/>
                </w:rPr>
                <w:t>Form of Indemnification Agreement</w:t>
              </w:r>
            </w:hyperlink>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333-289665</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8/15/2025</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10.7†</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18"/>
                  <w:u w:val="single"/>
                </w:rPr>
                <w:t>Employment Agreement of Cameron Winklevoss</w:t>
              </w:r>
            </w:hyperlink>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333-289665</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8/15/2025</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10.8†</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18"/>
                  <w:u w:val="single"/>
                </w:rPr>
                <w:t>Employment Agreement of Tyler Winklevoss</w:t>
              </w:r>
            </w:hyperlink>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333-289665</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8/15/2025</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10.9#†</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18"/>
                  <w:u w:val="single"/>
                </w:rPr>
                <w:t>Executive Employment Agreement of Dan Chen</w:t>
              </w:r>
            </w:hyperlink>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333-289665</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10.8</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8/15/2025</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10.10#†</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18"/>
                  <w:u w:val="single"/>
                </w:rPr>
                <w:t>Executive Employment Agreement of Marshall Beard</w:t>
              </w:r>
            </w:hyperlink>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333-289665</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10.9</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8/15/2025</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10.11#†</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18"/>
                  <w:u w:val="single"/>
                </w:rPr>
                <w:t>Executive Employment Agreement of Tyler Meade</w:t>
              </w:r>
            </w:hyperlink>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333-289665</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10.10</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8/15/2025</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10.12†</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18"/>
                  <w:u w:val="single"/>
                </w:rPr>
                <w:t>Gemini Space Station Senior Executive Severance Plan</w:t>
              </w:r>
            </w:hyperlink>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333-289665</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8/15/2025</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10.13†</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18"/>
                  <w:u w:val="single"/>
                </w:rPr>
                <w:t>Gemini Space Station Executive Severance Plan</w:t>
              </w:r>
            </w:hyperlink>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333-289665</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10.12</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8/15/2025</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10.14†</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18"/>
                  <w:u w:val="single"/>
                </w:rPr>
                <w:t>Gemini Space Station, Inc. 2025 Omnibus Incentive Plan</w:t>
              </w:r>
            </w:hyperlink>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333-289665</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10.13</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9/2/2025</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10.15†</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18"/>
                  <w:u w:val="single"/>
                </w:rPr>
                <w:t>Gemini Space Station, Inc. 2025 Employee Stock Purchase Plan</w:t>
              </w:r>
            </w:hyperlink>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333-289665</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10.14</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9/2/2025</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10.16†</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18"/>
                  <w:u w:val="single"/>
                </w:rPr>
                <w:t>Gemini Space Station, Inc. Non-Employee Director Compensation Policy</w:t>
              </w:r>
            </w:hyperlink>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333-289665</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10.15</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8/15/2025</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10.17</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18"/>
                  <w:u w:val="single"/>
                </w:rPr>
                <w:t>Class A Common Stock Purchase Agreement, dated September 8, 2025, by and among Gemini Space Station, Inc. and Nasdaq, Inc.</w:t>
              </w:r>
            </w:hyperlink>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333-289665</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10.16</w:t>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9/9/2025</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10.18†</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danchenseparationagreement.htm">
              <w:r>
                <w:rPr>
                  <w:rStyle w:val="InternetLink"/>
                  <w:rFonts w:ascii="Times New Roman;serif" w:hAnsi="Times New Roman;serif"/>
                  <w:b w:val="false"/>
                  <w:color w:val="000080"/>
                  <w:sz w:val="18"/>
                  <w:u w:val="single"/>
                </w:rPr>
                <w:t>Release and Separation Agreement,</w:t>
              </w:r>
            </w:hyperlink>
            <w:hyperlink w:anchor="danchenseparationagreement.htm">
              <w:r>
                <w:rPr>
                  <w:rStyle w:val="InternetLink"/>
                  <w:rFonts w:ascii="Times New Roman;serif" w:hAnsi="Times New Roman;serif"/>
                  <w:b w:val="false"/>
                  <w:color w:val="000080"/>
                  <w:sz w:val="18"/>
                  <w:u w:val="single"/>
                </w:rPr>
                <w:t xml:space="preserve"> dated </w:t>
              </w:r>
            </w:hyperlink>
            <w:hyperlink w:anchor="danchenseparationagreement.htm">
              <w:r>
                <w:rPr>
                  <w:rStyle w:val="InternetLink"/>
                  <w:rFonts w:ascii="Times New Roman;serif" w:hAnsi="Times New Roman;serif"/>
                  <w:b w:val="false"/>
                  <w:color w:val="000080"/>
                  <w:sz w:val="18"/>
                  <w:u w:val="single"/>
                </w:rPr>
                <w:t xml:space="preserve">as of </w:t>
              </w:r>
            </w:hyperlink>
            <w:hyperlink w:anchor="danchenseparationagreement.htm">
              <w:r>
                <w:rPr>
                  <w:rStyle w:val="InternetLink"/>
                  <w:rFonts w:ascii="Times New Roman;serif" w:hAnsi="Times New Roman;serif"/>
                  <w:b w:val="false"/>
                  <w:color w:val="000080"/>
                  <w:sz w:val="18"/>
                  <w:u w:val="single"/>
                </w:rPr>
                <w:t>March 29, 2026,</w:t>
              </w:r>
            </w:hyperlink>
            <w:hyperlink w:anchor="danchenseparationagreement.htm">
              <w:r>
                <w:rPr>
                  <w:rStyle w:val="InternetLink"/>
                  <w:rFonts w:ascii="Times New Roman;serif" w:hAnsi="Times New Roman;serif"/>
                  <w:b w:val="false"/>
                  <w:color w:val="000080"/>
                  <w:sz w:val="18"/>
                  <w:u w:val="single"/>
                </w:rPr>
                <w:t xml:space="preserve"> by and betwee</w:t>
              </w:r>
            </w:hyperlink>
            <w:hyperlink w:anchor="danchenseparationagreement.htm">
              <w:r>
                <w:rPr>
                  <w:rStyle w:val="InternetLink"/>
                  <w:rFonts w:ascii="Times New Roman;serif" w:hAnsi="Times New Roman;serif"/>
                  <w:b w:val="false"/>
                  <w:color w:val="000080"/>
                  <w:sz w:val="18"/>
                  <w:u w:val="single"/>
                </w:rPr>
                <w:t xml:space="preserve">n </w:t>
              </w:r>
            </w:hyperlink>
            <w:hyperlink w:anchor="danchenseparationagreement.htm">
              <w:r>
                <w:rPr>
                  <w:rStyle w:val="InternetLink"/>
                  <w:rFonts w:ascii="Times New Roman;serif" w:hAnsi="Times New Roman;serif"/>
                  <w:b w:val="false"/>
                  <w:color w:val="000080"/>
                  <w:sz w:val="18"/>
                  <w:u w:val="single"/>
                </w:rPr>
                <w:t>Gemini Space Station, Inc</w:t>
              </w:r>
            </w:hyperlink>
            <w:hyperlink w:anchor="danchenseparationagreement.htm">
              <w:r>
                <w:rPr>
                  <w:rStyle w:val="InternetLink"/>
                  <w:rFonts w:ascii="Times New Roman;serif" w:hAnsi="Times New Roman;serif"/>
                  <w:b w:val="false"/>
                  <w:color w:val="000080"/>
                  <w:sz w:val="18"/>
                  <w:u w:val="single"/>
                </w:rPr>
                <w:t xml:space="preserve">. and </w:t>
              </w:r>
            </w:hyperlink>
            <w:hyperlink w:anchor="danchenseparationagreement.htm">
              <w:r>
                <w:rPr>
                  <w:rStyle w:val="InternetLink"/>
                  <w:rFonts w:ascii="Times New Roman;serif" w:hAnsi="Times New Roman;serif"/>
                  <w:b w:val="false"/>
                  <w:color w:val="000080"/>
                  <w:sz w:val="18"/>
                  <w:u w:val="single"/>
                </w:rPr>
                <w:t>Dan Chen</w:t>
              </w:r>
            </w:hyperlink>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10.19†</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arshallbeardseparationagr.htm">
              <w:r>
                <w:rPr>
                  <w:rStyle w:val="InternetLink"/>
                  <w:rFonts w:ascii="Times New Roman;serif" w:hAnsi="Times New Roman;serif"/>
                  <w:b w:val="false"/>
                  <w:color w:val="000080"/>
                  <w:sz w:val="18"/>
                  <w:u w:val="single"/>
                </w:rPr>
                <w:t xml:space="preserve">Release and Separation Agreement, dated </w:t>
              </w:r>
            </w:hyperlink>
            <w:hyperlink w:anchor="marshallbeardseparationagr.htm">
              <w:r>
                <w:rPr>
                  <w:rStyle w:val="InternetLink"/>
                  <w:rFonts w:ascii="Times New Roman;serif" w:hAnsi="Times New Roman;serif"/>
                  <w:b w:val="false"/>
                  <w:color w:val="000080"/>
                  <w:sz w:val="18"/>
                  <w:u w:val="single"/>
                </w:rPr>
                <w:t xml:space="preserve">as of </w:t>
              </w:r>
            </w:hyperlink>
            <w:hyperlink w:anchor="marshallbeardseparationagr.htm">
              <w:r>
                <w:rPr>
                  <w:rStyle w:val="InternetLink"/>
                  <w:rFonts w:ascii="Times New Roman;serif" w:hAnsi="Times New Roman;serif"/>
                  <w:b w:val="false"/>
                  <w:color w:val="000080"/>
                  <w:sz w:val="18"/>
                  <w:u w:val="single"/>
                </w:rPr>
                <w:t>March 29, 2026, by and between Gemini Space Station, Inc. and Marshall Beard</w:t>
              </w:r>
            </w:hyperlink>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10.20†</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tylermeadeseparationagreem.htm">
              <w:r>
                <w:rPr>
                  <w:rStyle w:val="InternetLink"/>
                  <w:rFonts w:ascii="Times New Roman;serif" w:hAnsi="Times New Roman;serif"/>
                  <w:b w:val="false"/>
                  <w:color w:val="000080"/>
                  <w:sz w:val="18"/>
                  <w:u w:val="single"/>
                </w:rPr>
                <w:t xml:space="preserve">Release and Separation Agreement, dated </w:t>
              </w:r>
            </w:hyperlink>
            <w:hyperlink w:anchor="tylermeadeseparationagreem.htm">
              <w:r>
                <w:rPr>
                  <w:rStyle w:val="InternetLink"/>
                  <w:rFonts w:ascii="Times New Roman;serif" w:hAnsi="Times New Roman;serif"/>
                  <w:b w:val="false"/>
                  <w:color w:val="000080"/>
                  <w:sz w:val="18"/>
                  <w:u w:val="single"/>
                </w:rPr>
                <w:t xml:space="preserve">as of </w:t>
              </w:r>
            </w:hyperlink>
            <w:hyperlink w:anchor="tylermeadeseparationagreem.htm">
              <w:r>
                <w:rPr>
                  <w:rStyle w:val="InternetLink"/>
                  <w:rFonts w:ascii="Times New Roman;serif" w:hAnsi="Times New Roman;serif"/>
                  <w:b w:val="false"/>
                  <w:color w:val="000080"/>
                  <w:sz w:val="18"/>
                  <w:u w:val="single"/>
                </w:rPr>
                <w:t xml:space="preserve">March 29, 2026, by and between Gemini Space Station, Inc. and </w:t>
              </w:r>
            </w:hyperlink>
            <w:hyperlink w:anchor="tylermeadeseparationagreem.htm">
              <w:r>
                <w:rPr>
                  <w:rStyle w:val="InternetLink"/>
                  <w:rFonts w:ascii="Times New Roman;serif" w:hAnsi="Times New Roman;serif"/>
                  <w:b w:val="false"/>
                  <w:color w:val="000080"/>
                  <w:sz w:val="18"/>
                  <w:u w:val="single"/>
                </w:rPr>
                <w:t>Tyler Meade</w:t>
              </w:r>
            </w:hyperlink>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19.1</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91-securitiestradingpo.htm">
              <w:r>
                <w:rPr>
                  <w:rStyle w:val="InternetLink"/>
                  <w:rFonts w:ascii="Times New Roman;serif" w:hAnsi="Times New Roman;serif"/>
                  <w:b w:val="false"/>
                  <w:color w:val="0000FF"/>
                  <w:sz w:val="18"/>
                  <w:u w:val="single"/>
                </w:rPr>
                <w:t>Gemini Space Station, Inc. Securities Trading Policy</w:t>
              </w:r>
            </w:hyperlink>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21.1</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istofsubsidiariesex211.htm">
              <w:r>
                <w:rPr>
                  <w:rStyle w:val="InternetLink"/>
                  <w:rFonts w:ascii="Times New Roman;serif" w:hAnsi="Times New Roman;serif"/>
                  <w:b w:val="false"/>
                  <w:color w:val="000080"/>
                  <w:sz w:val="18"/>
                  <w:u w:val="single"/>
                </w:rPr>
                <w:t>L</w:t>
              </w:r>
            </w:hyperlink>
            <w:hyperlink w:anchor="listofsubsidiariesex211.htm">
              <w:r>
                <w:rPr>
                  <w:rStyle w:val="InternetLink"/>
                  <w:rFonts w:ascii="Times New Roman;serif" w:hAnsi="Times New Roman;serif"/>
                  <w:b w:val="false"/>
                  <w:color w:val="000080"/>
                  <w:sz w:val="18"/>
                  <w:u w:val="single"/>
                </w:rPr>
                <w:t xml:space="preserve">ist of Subsidiaries </w:t>
              </w:r>
            </w:hyperlink>
            <w:hyperlink w:anchor="listofsubsidiariesex211.htm">
              <w:r>
                <w:rPr>
                  <w:rStyle w:val="InternetLink"/>
                  <w:rFonts w:ascii="Times New Roman;serif" w:hAnsi="Times New Roman;serif"/>
                  <w:b w:val="false"/>
                  <w:color w:val="000080"/>
                  <w:sz w:val="18"/>
                  <w:u w:val="single"/>
                </w:rPr>
                <w:t>of the Registrant</w:t>
              </w:r>
            </w:hyperlink>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23.1</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deloitte-consentofindepend.htm">
              <w:r>
                <w:rPr>
                  <w:rStyle w:val="InternetLink"/>
                  <w:rFonts w:ascii="Times New Roman;serif" w:hAnsi="Times New Roman;serif"/>
                  <w:b w:val="false"/>
                  <w:color w:val="0000FF"/>
                  <w:sz w:val="18"/>
                  <w:u w:val="single"/>
                </w:rPr>
                <w:t>Consent of Deloitte &amp; Touche LLP, independent registered public accounting firm</w:t>
              </w:r>
            </w:hyperlink>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24.1</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8e92ff5e2248149c5a58221ea5bce2_1099511628851">
              <w:r>
                <w:rPr>
                  <w:rStyle w:val="InternetLink"/>
                  <w:rFonts w:ascii="Times New Roman;serif" w:hAnsi="Times New Roman;serif"/>
                  <w:b w:val="false"/>
                  <w:color w:val="000080"/>
                  <w:sz w:val="18"/>
                  <w:u w:val="single"/>
                </w:rPr>
                <w:t>P</w:t>
              </w:r>
            </w:hyperlink>
            <w:hyperlink w:anchor="i398e92ff5e2248149c5a58221ea5bce2_1099511628851">
              <w:r>
                <w:rPr>
                  <w:rStyle w:val="InternetLink"/>
                  <w:rFonts w:ascii="Times New Roman;serif" w:hAnsi="Times New Roman;serif"/>
                  <w:b w:val="false"/>
                  <w:color w:val="000080"/>
                  <w:sz w:val="18"/>
                  <w:u w:val="single"/>
                </w:rPr>
                <w:t>ower of Attorney (included on signatures page</w:t>
              </w:r>
            </w:hyperlink>
            <w:hyperlink w:anchor="i398e92ff5e2248149c5a58221ea5bce2_1099511628851">
              <w:r>
                <w:rPr>
                  <w:rStyle w:val="InternetLink"/>
                  <w:rFonts w:ascii="Times New Roman;serif" w:hAnsi="Times New Roman;serif"/>
                  <w:b w:val="false"/>
                  <w:color w:val="000080"/>
                  <w:sz w:val="18"/>
                  <w:u w:val="single"/>
                </w:rPr>
                <w:t>)</w:t>
              </w:r>
            </w:hyperlink>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5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0-kxexhibit311.htm">
              <w:r>
                <w:rPr>
                  <w:rStyle w:val="InternetLink"/>
                  <w:rFonts w:ascii="Times New Roman;serif" w:hAnsi="Times New Roman;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16840"/>
                <wp:effectExtent l="0" t="0" r="0" b="0"/>
                <wp:wrapNone/>
                <wp:docPr id="222" name="Frame2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left"/>
                              <w:rPr>
                                <w:rFonts w:ascii="Times New Roman;serif" w:hAnsi="Times New Roman;serif"/>
                                <w:b w:val="false"/>
                                <w:color w:val="000000"/>
                                <w:sz w:val="20"/>
                              </w:rPr>
                            </w:pPr>
                            <w:r>
                              <w:rPr>
                                <w:rFonts w:ascii="Times New Roman;serif" w:hAnsi="Times New Roman;serif"/>
                                <w:b w:val="false"/>
                                <w:color w:val="000000"/>
                                <w:sz w:val="20"/>
                              </w:rPr>
                              <w:t>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erif" w:hAnsi="Times New Roman;serif"/>
                          <w:b w:val="false"/>
                          <w:color w:val="000000"/>
                          <w:sz w:val="20"/>
                        </w:rPr>
                      </w:pPr>
                      <w:r>
                        <w:rPr>
                          <w:rFonts w:ascii="Times New Roman;serif" w:hAnsi="Times New Roman;serif"/>
                          <w:b w:val="false"/>
                          <w:color w:val="000000"/>
                          <w:sz w:val="20"/>
                        </w:rPr>
                        <w:t>212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5"/>
        <w:gridCol w:w="195"/>
        <w:gridCol w:w="197"/>
        <w:gridCol w:w="2626"/>
        <w:gridCol w:w="2626"/>
        <w:gridCol w:w="2633"/>
        <w:gridCol w:w="109"/>
        <w:gridCol w:w="109"/>
        <w:gridCol w:w="109"/>
        <w:gridCol w:w="109"/>
        <w:gridCol w:w="109"/>
        <w:gridCol w:w="109"/>
        <w:gridCol w:w="109"/>
        <w:gridCol w:w="109"/>
        <w:gridCol w:w="109"/>
        <w:gridCol w:w="109"/>
        <w:gridCol w:w="109"/>
        <w:gridCol w:w="109"/>
        <w:gridCol w:w="109"/>
        <w:gridCol w:w="109"/>
        <w:gridCol w:w="157"/>
      </w:tblGrid>
      <w:tr>
        <w:trPr/>
        <w:tc>
          <w:tcPr>
            <w:tcW w:w="24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78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0-kxexhibit312.htm">
              <w:r>
                <w:rPr>
                  <w:rStyle w:val="InternetLink"/>
                  <w:rFonts w:ascii="Times New Roman;serif" w:hAnsi="Times New Roman;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78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0-kxexhibit321.htm">
              <w:r>
                <w:rPr>
                  <w:rStyle w:val="InternetLink"/>
                  <w:rFonts w:ascii="Times New Roman;serif" w:hAnsi="Times New Roman;serif"/>
                  <w:b w:val="false"/>
                  <w:color w:val="0000FF"/>
                  <w:sz w:val="18"/>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78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0-kxexhibit322.htm">
              <w:r>
                <w:rPr>
                  <w:rStyle w:val="InternetLink"/>
                  <w:rFonts w:ascii="Times New Roman;serif" w:hAnsi="Times New Roman;serif"/>
                  <w:b w:val="false"/>
                  <w:color w:val="0000FF"/>
                  <w:sz w:val="18"/>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97.1</w:t>
            </w:r>
          </w:p>
        </w:tc>
        <w:tc>
          <w:tcPr>
            <w:tcW w:w="78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971-postxipoclawbackpol.htm">
              <w:r>
                <w:rPr>
                  <w:rStyle w:val="InternetLink"/>
                  <w:rFonts w:ascii="Times New Roman;serif" w:hAnsi="Times New Roman;serif"/>
                  <w:b w:val="false"/>
                  <w:color w:val="0000FF"/>
                  <w:sz w:val="18"/>
                  <w:u w:val="single"/>
                </w:rPr>
                <w:t>Policy Relating to the Recovery of Erroneously Awarded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7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7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7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7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7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7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7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The certifications furnished in Exhibits 32.1 and 32.2 hereto are deemed to accompany this Annual Report on Form 10-K and are not deemed “filed” for purposes of Section 18 of the Exchange Act, or otherwise subject to the liability of that section, nor shall they be deemed incorporated by reference into any filing under the Securities Act of the Exchange Act.</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16"/>
        </w:rPr>
        <w:t>Indicates a management contract or compensatory plan</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Certain portions of this exhibit (indicated by asterisks) have been redacted in accordance with Item 601(a)(6) of Regulation S-K</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Certain portions of this exhibit (indicated by asterisks) have been redacted in accordance with Item 601(b)(10)(iv)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16840"/>
                <wp:effectExtent l="0" t="0" r="0" b="0"/>
                <wp:wrapNone/>
                <wp:docPr id="223" name="Frame2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left"/>
                              <w:rPr>
                                <w:rFonts w:ascii="Times New Roman;serif" w:hAnsi="Times New Roman;serif"/>
                                <w:b w:val="false"/>
                                <w:color w:val="000000"/>
                                <w:sz w:val="20"/>
                              </w:rPr>
                            </w:pPr>
                            <w:r>
                              <w:rPr>
                                <w:rFonts w:ascii="Times New Roman;serif" w:hAnsi="Times New Roman;serif"/>
                                <w:b w:val="false"/>
                                <w:color w:val="000000"/>
                                <w:sz w:val="20"/>
                              </w:rPr>
                              <w:t>213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erif" w:hAnsi="Times New Roman;serif"/>
                          <w:b w:val="false"/>
                          <w:color w:val="000000"/>
                          <w:sz w:val="20"/>
                        </w:rPr>
                      </w:pPr>
                      <w:r>
                        <w:rPr>
                          <w:rFonts w:ascii="Times New Roman;serif" w:hAnsi="Times New Roman;serif"/>
                          <w:b w:val="false"/>
                          <w:color w:val="000000"/>
                          <w:sz w:val="20"/>
                        </w:rPr>
                        <w:t>213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16. Form 10-K Summary </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16840"/>
                <wp:effectExtent l="0" t="0" r="0" b="0"/>
                <wp:wrapNone/>
                <wp:docPr id="224" name="Frame2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as amended, the registrant has duly caused this Annual Report on Form 10-K to be signed on its behalf by the undersigned, thereunto duly authorized.</w:t>
      </w:r>
    </w:p>
    <w:p>
      <w:pPr>
        <w:pStyle w:val="TextBody"/>
        <w:bidi w:val="0"/>
        <w:spacing w:before="0" w:after="0"/>
        <w:jc w:val="both"/>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Gemini Space Station, Inc.</w:t>
      </w:r>
    </w:p>
    <w:p>
      <w:pPr>
        <w:pStyle w:val="TextBody"/>
        <w:bidi w:val="0"/>
        <w:spacing w:lineRule="auto" w:line="288" w:before="0" w:after="0"/>
        <w:jc w:val="both"/>
        <w:rPr/>
      </w:pPr>
      <w:r>
        <w:rPr>
          <w:rFonts w:ascii="Times New Roman;serif" w:hAnsi="Times New Roman;serif"/>
          <w:b w:val="false"/>
          <w:color w:val="000000"/>
          <w:sz w:val="20"/>
        </w:rPr>
        <w:t xml:space="preserve">Date: March 31, 2026          By: </w:t>
      </w:r>
      <w:r>
        <w:rPr>
          <w:rFonts w:ascii="Times New Roman;serif" w:hAnsi="Times New Roman;serif"/>
          <w:b w:val="false"/>
          <w:color w:val="000000"/>
          <w:sz w:val="20"/>
          <w:u w:val="single"/>
        </w:rPr>
        <w:t xml:space="preserve">/s/ Tyler Winklevoss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Tyler Winklevoss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Co-Founder, Chief Executive Officer and Director</w:t>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Date: March 31, 2026              By: </w:t>
      </w:r>
      <w:r>
        <w:rPr>
          <w:rFonts w:ascii="Times New Roman;serif" w:hAnsi="Times New Roman;serif"/>
          <w:b w:val="false"/>
          <w:color w:val="000000"/>
          <w:sz w:val="20"/>
          <w:u w:val="single"/>
        </w:rPr>
        <w:t xml:space="preserve">/s/ Danijela Stojanovic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Danijela Stojanovic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hereby constitutes and appoints Tyler Winklevoss and Danijela Stojanovic, and each of them, as his or her true and lawful attorneys-in-fact, proxies, and agents, each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might or could do in person, hereby ratifying and confirming all that said attorneys-in-fact, proxies, and agents, or their or his or her substitute or substitutes, may lawfully do or cause to be done by virtue hereof.</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Annual Report on Form 10-K has been signed below by the following persons on behalf of the Registrant and in the capacities and on the dates indicated.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16840"/>
                <wp:effectExtent l="0" t="0" r="0" b="0"/>
                <wp:wrapNone/>
                <wp:docPr id="225" name="Frame2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215</w:t>
                      </w:r>
                    </w:p>
                  </w:txbxContent>
                </v:textbox>
                <w10:wrap type="none"/>
              </v:rect>
            </w:pict>
          </mc:Fallback>
        </mc:AlternateContent>
      </w:r>
    </w:p>
    <w:p>
      <w:pPr>
        <w:pStyle w:val="TextBody"/>
        <w:bidi w:val="0"/>
        <w:spacing w:before="0" w:after="0"/>
        <w:jc w:val="left"/>
        <w:rPr/>
      </w:pPr>
      <w:r>
        <w:rPr/>
      </w:r>
    </w:p>
    <w:tbl>
      <w:tblPr>
        <w:tblW w:w="9292" w:type="dxa"/>
        <w:jc w:val="left"/>
        <w:tblInd w:w="0" w:type="dxa"/>
        <w:tblLayout w:type="fixed"/>
        <w:tblCellMar>
          <w:top w:w="28" w:type="dxa"/>
          <w:left w:w="28" w:type="dxa"/>
          <w:bottom w:w="28" w:type="dxa"/>
          <w:right w:w="28" w:type="dxa"/>
        </w:tblCellMar>
      </w:tblPr>
      <w:tblGrid>
        <w:gridCol w:w="759"/>
        <w:gridCol w:w="666"/>
        <w:gridCol w:w="674"/>
        <w:gridCol w:w="109"/>
        <w:gridCol w:w="109"/>
        <w:gridCol w:w="109"/>
        <w:gridCol w:w="1694"/>
        <w:gridCol w:w="1694"/>
        <w:gridCol w:w="1712"/>
        <w:gridCol w:w="109"/>
        <w:gridCol w:w="109"/>
        <w:gridCol w:w="109"/>
        <w:gridCol w:w="419"/>
        <w:gridCol w:w="419"/>
        <w:gridCol w:w="601"/>
      </w:tblGrid>
      <w:tr>
        <w:trPr/>
        <w:tc>
          <w:tcPr>
            <w:tcW w:w="75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Tyler Winklevoss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Co-Founder,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Tyler Winklevoss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Danijela Stojanovic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Danijela Stojanovic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Cameron Winklevoss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Co-Founder, President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Cameron Winklevoss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Sachin Jaitly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Sachin Jaitly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Jonathan Durham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Jonathan Durham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Esposito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James Esposito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Maria Filipakis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Maria Filipakis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4.3</w:t>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16840"/>
                <wp:effectExtent l="0" t="0" r="0" b="0"/>
                <wp:wrapNone/>
                <wp:docPr id="226" name="Frame2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216</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DESCRIPTION OF SECURITIES</w:t>
      </w:r>
    </w:p>
    <w:p>
      <w:pPr>
        <w:pStyle w:val="TextBody"/>
        <w:bidi w:val="0"/>
        <w:spacing w:before="0" w:after="0"/>
        <w:jc w:val="left"/>
        <w:rPr/>
      </w:pPr>
      <w:r>
        <w:rPr/>
      </w:r>
    </w:p>
    <w:p>
      <w:pPr>
        <w:pStyle w:val="TextBody"/>
        <w:bidi w:val="0"/>
        <w:spacing w:lineRule="auto" w:line="230" w:before="0" w:after="0"/>
        <w:ind w:left="0" w:right="0" w:firstLine="400"/>
        <w:jc w:val="left"/>
        <w:rPr>
          <w:rFonts w:ascii="Times New Roman;serif" w:hAnsi="Times New Roman;serif"/>
          <w:b w:val="false"/>
          <w:i/>
          <w:color w:val="000000"/>
          <w:sz w:val="20"/>
        </w:rPr>
      </w:pPr>
      <w:r>
        <w:rPr>
          <w:rFonts w:ascii="Times New Roman;serif" w:hAnsi="Times New Roman;serif"/>
          <w:b w:val="false"/>
          <w:i/>
          <w:color w:val="000000"/>
          <w:sz w:val="20"/>
        </w:rPr>
        <w:t>The following is a description of our capital stock. The following description is intended as a summary only and is qualified in its entirety by reference to our amended and restated articles of incorporation and amended and restated bylaws, each of which are filed as exhibits to this Annual Report on Form 10-Kand are incorporated by reference herein. We encourage you to read our amended and restated articles of incorporation, amended and restated bylaws, and the applicable provisions of the Nevada Revised Statutes (“NRS”) for additional information.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Authorized Capital Stock </w:t>
      </w:r>
    </w:p>
    <w:p>
      <w:pPr>
        <w:pStyle w:val="TextBody"/>
        <w:bidi w:val="0"/>
        <w:spacing w:before="0" w:after="0"/>
        <w:jc w:val="left"/>
        <w:rPr/>
      </w:pPr>
      <w:r>
        <w:rPr/>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We have two classes of common stock: Class A and Class B. Our authorized capital stock consists of:</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1,000,000,000 shares of Class A common stock, par value $0.001 per share;</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100,000,000 shares of Class B common stock, par value $0.001 per share; and</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20,000,000 shares of preferred stock, par value $0.001 per share.</w:t>
      </w:r>
    </w:p>
    <w:p>
      <w:pPr>
        <w:pStyle w:val="TextBody"/>
        <w:bidi w:val="0"/>
        <w:spacing w:before="0" w:after="0"/>
        <w:jc w:val="left"/>
        <w:rPr/>
      </w:pPr>
      <w:r>
        <w:rPr/>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The Class A common stock and Class B common stock generally vote together as a single class on all matters submitted to a vote of stockholders, except as otherwise required by Nevada law or provided in our amended and restated articles of incorporation.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Class A common stock</w:t>
      </w:r>
    </w:p>
    <w:p>
      <w:pPr>
        <w:pStyle w:val="TextBody"/>
        <w:bidi w:val="0"/>
        <w:spacing w:before="0" w:after="0"/>
        <w:jc w:val="left"/>
        <w:rPr/>
      </w:pPr>
      <w:r>
        <w:rPr/>
      </w:r>
    </w:p>
    <w:p>
      <w:pPr>
        <w:pStyle w:val="TextBody"/>
        <w:bidi w:val="0"/>
        <w:spacing w:lineRule="auto" w:line="230" w:before="0" w:after="0"/>
        <w:ind w:left="0" w:right="0" w:firstLine="400"/>
        <w:jc w:val="left"/>
        <w:rPr/>
      </w:pPr>
      <w:r>
        <w:rPr>
          <w:rFonts w:ascii="Times New Roman;serif" w:hAnsi="Times New Roman;serif"/>
          <w:b w:val="false"/>
          <w:i/>
          <w:color w:val="000000"/>
          <w:sz w:val="20"/>
        </w:rPr>
        <w:t>Voting Rights.</w:t>
      </w:r>
      <w:r>
        <w:rPr>
          <w:color w:val="000000"/>
        </w:rPr>
        <w:t xml:space="preserve"> </w:t>
      </w:r>
      <w:r>
        <w:rPr>
          <w:rFonts w:ascii="Times New Roman;serif" w:hAnsi="Times New Roman;serif"/>
          <w:b w:val="false"/>
          <w:color w:val="000000"/>
          <w:sz w:val="20"/>
        </w:rPr>
        <w:t>Holders of shares of our Class A common stock are entitled to one vote for each share held of record on all matters submitted to a vote of stockholders.</w:t>
      </w:r>
    </w:p>
    <w:p>
      <w:pPr>
        <w:pStyle w:val="TextBody"/>
        <w:bidi w:val="0"/>
        <w:spacing w:before="0" w:after="0"/>
        <w:jc w:val="left"/>
        <w:rPr/>
      </w:pPr>
      <w:r>
        <w:rPr/>
      </w:r>
    </w:p>
    <w:p>
      <w:pPr>
        <w:pStyle w:val="TextBody"/>
        <w:bidi w:val="0"/>
        <w:spacing w:lineRule="auto" w:line="230" w:before="0" w:after="0"/>
        <w:ind w:left="0" w:right="0" w:firstLine="400"/>
        <w:jc w:val="left"/>
        <w:rPr/>
      </w:pPr>
      <w:r>
        <w:rPr>
          <w:rFonts w:ascii="Times New Roman;serif" w:hAnsi="Times New Roman;serif"/>
          <w:b w:val="false"/>
          <w:i/>
          <w:color w:val="000000"/>
          <w:sz w:val="20"/>
        </w:rPr>
        <w:t xml:space="preserve">Dividend and Distribution Rights. </w:t>
      </w:r>
      <w:r>
        <w:rPr>
          <w:rFonts w:ascii="Times New Roman;serif" w:hAnsi="Times New Roman;serif"/>
          <w:b w:val="false"/>
          <w:color w:val="000000"/>
          <w:sz w:val="20"/>
        </w:rPr>
        <w:t>Holders of shares of our Class A common stock are entitled to receive dividends or other distributions ratably with holders of shares of our Class B common stock when, as and if declared by our board of directors out of funds legally available therefor, subject to any statutory or contractual restrictions on the payment of dividends or other distributions and to any restrictions on the payment of dividends or other distributions imposed by the terms of any outstanding preferred stock, unless different treatment of the shares of Class A common stock and Class B common stock is approved by the affirmative vote of the holders of a majority of the outstanding shares of the Class A common stock and the holders of a majority of the outstanding shares of the Class B common stock, each voting separately as a class.</w:t>
      </w:r>
    </w:p>
    <w:p>
      <w:pPr>
        <w:pStyle w:val="TextBody"/>
        <w:bidi w:val="0"/>
        <w:spacing w:before="0" w:after="0"/>
        <w:jc w:val="left"/>
        <w:rPr/>
      </w:pPr>
      <w:r>
        <w:rPr/>
      </w:r>
    </w:p>
    <w:p>
      <w:pPr>
        <w:pStyle w:val="TextBody"/>
        <w:bidi w:val="0"/>
        <w:spacing w:lineRule="auto" w:line="230" w:before="0" w:after="0"/>
        <w:ind w:left="0" w:right="0" w:firstLine="400"/>
        <w:jc w:val="left"/>
        <w:rPr/>
      </w:pPr>
      <w:r>
        <w:rPr>
          <w:rFonts w:ascii="Times New Roman;serif" w:hAnsi="Times New Roman;serif"/>
          <w:b w:val="false"/>
          <w:i/>
          <w:color w:val="000000"/>
          <w:sz w:val="20"/>
        </w:rPr>
        <w:t xml:space="preserve">Liquidation Rights. </w:t>
      </w:r>
      <w:r>
        <w:rPr>
          <w:rFonts w:ascii="Times New Roman;serif" w:hAnsi="Times New Roman;serif"/>
          <w:b w:val="false"/>
          <w:color w:val="000000"/>
          <w:sz w:val="20"/>
        </w:rPr>
        <w:t>Upon our liquidation, dissolution or winding up, the assets legally available for distribution to our stockholders will be distributable ratably among the holders of our Class A common stock and Class B common stock, subject to prior satisfaction of all outstanding debts and other liabilities and the payment of liquidation preferences, if any, on any outstanding preferred stock, unless different treatment of the shares of Class A common stock and Class B common stock is approved by the affirmative vote of the holders of a majority of the outstanding shares of the Class A common stock and the holders of a majority of the outstanding shares of the Class B common stock, each voting separately as a class.</w:t>
      </w:r>
    </w:p>
    <w:p>
      <w:pPr>
        <w:pStyle w:val="TextBody"/>
        <w:bidi w:val="0"/>
        <w:spacing w:before="0" w:after="0"/>
        <w:jc w:val="left"/>
        <w:rPr/>
      </w:pPr>
      <w:r>
        <w:rPr/>
      </w:r>
    </w:p>
    <w:p>
      <w:pPr>
        <w:pStyle w:val="TextBody"/>
        <w:bidi w:val="0"/>
        <w:spacing w:lineRule="auto" w:line="230" w:before="0" w:after="0"/>
        <w:ind w:left="0" w:right="0" w:firstLine="400"/>
        <w:jc w:val="left"/>
        <w:rPr/>
      </w:pPr>
      <w:r>
        <w:rPr>
          <w:rFonts w:ascii="Times New Roman;serif" w:hAnsi="Times New Roman;serif"/>
          <w:b w:val="false"/>
          <w:i/>
          <w:color w:val="000000"/>
          <w:sz w:val="20"/>
        </w:rPr>
        <w:t xml:space="preserve">Other Matters. </w:t>
      </w:r>
      <w:r>
        <w:rPr>
          <w:rFonts w:ascii="Times New Roman;serif" w:hAnsi="Times New Roman;serif"/>
          <w:b w:val="false"/>
          <w:color w:val="000000"/>
          <w:sz w:val="20"/>
        </w:rPr>
        <w:t>All shares of our Class A common stock are fully paid and non-assessable. The Class A common stock is not subject to further calls or assessments by us. Holders of shares of our Class A common stock do not have preemptive, subscription, redemption or conversion rights. There is no redemption or sinking fund provisions applicable to the Class A common stock. The rights, powers, preferences and privileges of our Class A common stock are subject to those of the holders of any shares of our preferred stock or any other series or class of stock we may authorize and issue in the future.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Class B common stock</w:t>
      </w:r>
    </w:p>
    <w:p>
      <w:pPr>
        <w:pStyle w:val="TextBody"/>
        <w:bidi w:val="0"/>
        <w:spacing w:before="0" w:after="0"/>
        <w:jc w:val="left"/>
        <w:rPr/>
      </w:pPr>
      <w:r>
        <w:rPr/>
      </w:r>
    </w:p>
    <w:p>
      <w:pPr>
        <w:pStyle w:val="TextBody"/>
        <w:bidi w:val="0"/>
        <w:spacing w:lineRule="auto" w:line="230" w:before="0" w:after="0"/>
        <w:ind w:left="0" w:right="0" w:firstLine="400"/>
        <w:jc w:val="left"/>
        <w:rPr/>
      </w:pPr>
      <w:r>
        <w:rPr>
          <w:rFonts w:ascii="Times New Roman;serif" w:hAnsi="Times New Roman;serif"/>
          <w:b w:val="false"/>
          <w:i/>
          <w:color w:val="000000"/>
          <w:sz w:val="20"/>
        </w:rPr>
        <w:t>Voting Rights.</w:t>
      </w:r>
      <w:r>
        <w:rPr>
          <w:color w:val="000000"/>
        </w:rPr>
        <w:t xml:space="preserve"> </w:t>
      </w:r>
      <w:r>
        <w:rPr>
          <w:rFonts w:ascii="Times New Roman;serif" w:hAnsi="Times New Roman;serif"/>
          <w:b w:val="false"/>
          <w:color w:val="000000"/>
          <w:sz w:val="20"/>
        </w:rPr>
        <w:t>Holders of shares of our Class B common stock are entitled to ten votes for each share held of record on all matters submitted to a vote of stockholders.</w:t>
      </w:r>
    </w:p>
    <w:p>
      <w:pPr>
        <w:pStyle w:val="TextBody"/>
        <w:bidi w:val="0"/>
        <w:spacing w:before="0" w:after="0"/>
        <w:jc w:val="left"/>
        <w:rPr/>
      </w:pPr>
      <w:r>
        <w:rPr/>
      </w:r>
    </w:p>
    <w:p>
      <w:pPr>
        <w:pStyle w:val="TextBody"/>
        <w:bidi w:val="0"/>
        <w:spacing w:lineRule="auto" w:line="230"/>
        <w:ind w:left="0" w:right="0" w:firstLine="400"/>
        <w:jc w:val="left"/>
        <w:rPr/>
      </w:pPr>
      <w:r>
        <w:rPr>
          <w:rFonts w:ascii="Times New Roman;serif" w:hAnsi="Times New Roman;serif"/>
          <w:b w:val="false"/>
          <w:i/>
          <w:color w:val="000000"/>
          <w:sz w:val="20"/>
        </w:rPr>
        <w:t>Dividend Rights</w:t>
      </w:r>
      <w:r>
        <w:rPr>
          <w:rFonts w:ascii="Times New Roman;serif" w:hAnsi="Times New Roman;serif"/>
          <w:b w:val="false"/>
          <w:color w:val="000000"/>
          <w:sz w:val="20"/>
        </w:rPr>
        <w:t>. Holders of shares of our Class B common stock are entitled to receive dividends or other distributions ratably with holders of shares of our Class A common stock when, as and if declared by our board of directors out of funds legally available therefor, subject to any statutory or contractual restrictions on the payment of dividends or other distributions and to any restrictions on the payment of dividends or other distributions imposed by the terms of any outstanding preferred stock, unless different treatment of the shares of Class A common stock and Class B common stock is approved by the affirmative vote of the holders of a majority of the outstanding shares of the Class A common stock and the holders of a majority of the outstanding shares of the Class B common stock, each voting separately as a class.</w:t>
      </w:r>
    </w:p>
    <w:p>
      <w:pPr>
        <w:pStyle w:val="TextBody"/>
        <w:bidi w:val="0"/>
        <w:spacing w:before="0" w:after="0"/>
        <w:jc w:val="righ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27"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30" w:before="0" w:after="0"/>
        <w:ind w:left="0" w:right="0" w:firstLine="400"/>
        <w:jc w:val="left"/>
        <w:rPr/>
      </w:pPr>
      <w:r>
        <w:rPr>
          <w:rFonts w:ascii="Times New Roman;serif" w:hAnsi="Times New Roman;serif"/>
          <w:b w:val="false"/>
          <w:i/>
          <w:color w:val="000000"/>
          <w:sz w:val="20"/>
        </w:rPr>
        <w:t>Liquidation Rights.</w:t>
      </w:r>
      <w:r>
        <w:rPr>
          <w:color w:val="000000"/>
        </w:rPr>
        <w:t xml:space="preserve"> </w:t>
      </w:r>
      <w:r>
        <w:rPr>
          <w:rFonts w:ascii="Times New Roman;serif" w:hAnsi="Times New Roman;serif"/>
          <w:b w:val="false"/>
          <w:color w:val="000000"/>
          <w:sz w:val="20"/>
        </w:rPr>
        <w:t>Upon our liquidation, dissolution or winding up, the assets legally available for distribution to our stockholders will be distributable ratably among the holders of our Class A common stock and Class B common stock, subject to prior satisfaction of all outstanding debts and other liabilities and the payment of liquidation preferences, if any, on any outstanding preferred stock, unless different treatment of the shares of Class A common stock and Class B common stock is approved by the affirmative vote of the holders of a majority of the outstanding shares of the Class A common stock and the holders of a majority of the outstanding shares of the Class B common stock, each voting separately as a class.</w:t>
      </w:r>
    </w:p>
    <w:p>
      <w:pPr>
        <w:pStyle w:val="TextBody"/>
        <w:bidi w:val="0"/>
        <w:spacing w:before="0" w:after="0"/>
        <w:jc w:val="left"/>
        <w:rPr/>
      </w:pPr>
      <w:r>
        <w:rPr/>
      </w:r>
    </w:p>
    <w:p>
      <w:pPr>
        <w:pStyle w:val="TextBody"/>
        <w:bidi w:val="0"/>
        <w:spacing w:lineRule="auto" w:line="230" w:before="0" w:after="0"/>
        <w:ind w:left="0" w:right="0" w:firstLine="400"/>
        <w:jc w:val="left"/>
        <w:rPr/>
      </w:pPr>
      <w:r>
        <w:rPr>
          <w:rFonts w:ascii="Times New Roman;serif" w:hAnsi="Times New Roman;serif"/>
          <w:b w:val="false"/>
          <w:i/>
          <w:color w:val="000000"/>
          <w:sz w:val="20"/>
        </w:rPr>
        <w:t xml:space="preserve">Conversion. </w:t>
      </w:r>
      <w:r>
        <w:rPr>
          <w:rFonts w:ascii="Times New Roman;serif" w:hAnsi="Times New Roman;serif"/>
          <w:b w:val="false"/>
          <w:color w:val="000000"/>
          <w:sz w:val="20"/>
        </w:rPr>
        <w:t>Shares of our Class B common stock may be exchanged at any time, at the option of the holder, for newly issued shares of our Class A common stock, on a one-for-one basis (in which case shares of our Class B common stock will be canceled on a one-for-one basis upon any such conversion and issuance). Each share of our Class B common stock will convert automatically into one share of our Class A common stock upon any transfer (as defined in our amended and restated articles of incorporation), whether or not for value, except for certain permitted transfers described in our amended and restated articles of incorporation. All outstanding shares of Class B common stock will convert automatically into shares of our Class A common stock at 5:00 p.m. New York City time on the date fixed by the Board that is no less than 61 days and no more than 180 days following the earliest to occur of (a) the date of the death or disability of the last to die or become disabled of the Founders; provided that if only one of the Founders has died or become disabled, a voting proxy will be automatically granted to the other Founder over all of the shares of Class B common stock held by the dead or disabled person, his controlled entities, and their permitted transferees, such that the proxy holder will have exclusive voting control over such shares of Class B common stock; or (b) the date that the number of shares of Class B common stock or securities convertible into or exchangeable for Class B common stock held by the Founders, their controlled entities, and their permitted transferees, is less than 20% of the number of such shares held by them immediately following the closing of our initial public offering.</w:t>
      </w:r>
    </w:p>
    <w:p>
      <w:pPr>
        <w:pStyle w:val="TextBody"/>
        <w:bidi w:val="0"/>
        <w:spacing w:before="0" w:after="0"/>
        <w:jc w:val="left"/>
        <w:rPr/>
      </w:pPr>
      <w:r>
        <w:rPr/>
      </w:r>
    </w:p>
    <w:p>
      <w:pPr>
        <w:pStyle w:val="TextBody"/>
        <w:bidi w:val="0"/>
        <w:spacing w:lineRule="auto" w:line="230" w:before="0" w:after="0"/>
        <w:ind w:left="0" w:right="0" w:firstLine="400"/>
        <w:jc w:val="left"/>
        <w:rPr/>
      </w:pPr>
      <w:r>
        <w:rPr>
          <w:rFonts w:ascii="Times New Roman;serif" w:hAnsi="Times New Roman;serif"/>
          <w:b w:val="false"/>
          <w:i/>
          <w:color w:val="000000"/>
          <w:sz w:val="20"/>
        </w:rPr>
        <w:t>Other Matters.</w:t>
      </w:r>
      <w:r>
        <w:rPr>
          <w:color w:val="000000"/>
        </w:rPr>
        <w:t xml:space="preserve"> </w:t>
      </w:r>
      <w:r>
        <w:rPr>
          <w:rFonts w:ascii="Times New Roman;serif" w:hAnsi="Times New Roman;serif"/>
          <w:b w:val="false"/>
          <w:color w:val="000000"/>
          <w:sz w:val="20"/>
        </w:rPr>
        <w:t>Our amended and restated articles of incorporation does not entitle holders of our Class B common stock to preemptive or other subscription rights. There is no redemption or sinking fund provisions applicable to our Class B common stock. All shares of our Class B common stock are fully paid and non-assessable. Our Founders collectively own 100% of our outstanding Class B common stock.</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Authorized but Unissued Preferred Stock</w:t>
      </w:r>
    </w:p>
    <w:p>
      <w:pPr>
        <w:pStyle w:val="TextBody"/>
        <w:bidi w:val="0"/>
        <w:spacing w:before="0" w:after="0"/>
        <w:jc w:val="left"/>
        <w:rPr/>
      </w:pPr>
      <w:r>
        <w:rPr/>
      </w:r>
    </w:p>
    <w:p>
      <w:pPr>
        <w:pStyle w:val="TextBody"/>
        <w:bidi w:val="0"/>
        <w:spacing w:lineRule="auto" w:line="23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No shares of preferred stock are issued or outstanding. </w:t>
      </w:r>
    </w:p>
    <w:p>
      <w:pPr>
        <w:pStyle w:val="TextBody"/>
        <w:bidi w:val="0"/>
        <w:spacing w:before="0" w:after="0"/>
        <w:jc w:val="left"/>
        <w:rPr/>
      </w:pPr>
      <w:r>
        <w:rPr/>
      </w:r>
    </w:p>
    <w:p>
      <w:pPr>
        <w:pStyle w:val="TextBody"/>
        <w:bidi w:val="0"/>
        <w:spacing w:lineRule="auto" w:line="23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Our amended and restated articles of incorporation permit our board of directors to establish one or more series of preferred stock (including convertible preferred stock). Unless required by law or any stock exchange, the authorized shares of preferred stock are available for issuance without further action by our stockholders. We are able to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Class A common stock might receive a premium for their Class A common stock over the market price of the Class A common stock. In addition, the issuance of preferred stock may adversely affect the holders of our Class A common stock by restricting dividends or other distributions on the Class A common stock, diluting the voting power of the Class A common stock or subordinating the liquidation rights of the Class A common stock. The issuance of preferred stock could have the effect of delaying, deferring or preventing a change of control, or other corporate action. As a result of these or other factors, the issuance of preferred stock may have an adverse impact on the market price of our Class A common stock.</w:t>
      </w:r>
    </w:p>
    <w:p>
      <w:pPr>
        <w:pStyle w:val="TextBody"/>
        <w:bidi w:val="0"/>
        <w:spacing w:before="0" w:after="0"/>
        <w:jc w:val="left"/>
        <w:rPr/>
      </w:pPr>
      <w:r>
        <w:rPr/>
      </w:r>
    </w:p>
    <w:p>
      <w:pPr>
        <w:pStyle w:val="TextBody"/>
        <w:bidi w:val="0"/>
        <w:spacing w:lineRule="auto" w:line="230" w:before="0" w:after="0"/>
        <w:jc w:val="left"/>
        <w:rPr>
          <w:rFonts w:ascii="Times New Roman;serif" w:hAnsi="Times New Roman;serif"/>
          <w:b/>
          <w:color w:val="000000"/>
          <w:sz w:val="20"/>
        </w:rPr>
      </w:pPr>
      <w:r>
        <w:rPr>
          <w:rFonts w:ascii="Times New Roman;serif" w:hAnsi="Times New Roman;serif"/>
          <w:b/>
          <w:color w:val="000000"/>
          <w:sz w:val="20"/>
        </w:rPr>
        <w:t>Anti-Takeover Effects of Our Amended and Restated Articles of incorporation and Amended and Restated Bylaws and Certain Provisions of Nevada Law</w:t>
      </w:r>
    </w:p>
    <w:p>
      <w:pPr>
        <w:pStyle w:val="TextBody"/>
        <w:bidi w:val="0"/>
        <w:spacing w:before="0" w:after="0"/>
        <w:jc w:val="left"/>
        <w:rPr/>
      </w:pPr>
      <w:r>
        <w:rPr/>
      </w:r>
    </w:p>
    <w:p>
      <w:pPr>
        <w:pStyle w:val="TextBody"/>
        <w:bidi w:val="0"/>
        <w:spacing w:lineRule="auto" w:line="23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The provisions of the NRS, our amended and restated articles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Nevada Law</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Combinations with Interested Stockholders</w:t>
      </w:r>
    </w:p>
    <w:p>
      <w:pPr>
        <w:pStyle w:val="TextBody"/>
        <w:bidi w:val="0"/>
        <w:spacing w:before="0" w:after="0"/>
        <w:jc w:val="left"/>
        <w:rPr/>
      </w:pPr>
      <w:r>
        <w:rPr/>
      </w:r>
    </w:p>
    <w:p>
      <w:pPr>
        <w:pStyle w:val="TextBody"/>
        <w:bidi w:val="0"/>
        <w:spacing w:lineRule="auto" w:line="23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Nevada’s “combinations with interested stockholders” statutes (NRS 78.411 through 78.444, inclusive) provide that specified types of business “combinations” between certain Nevada corporations and any person deemed to be an “interested stockholder” of the corporation are prohibited for two years after such person first becomes an </w:t>
      </w:r>
    </w:p>
    <w:p>
      <w:pPr>
        <w:pStyle w:val="TextBody"/>
        <w:bidi w:val="0"/>
        <w:spacing w:before="0" w:after="0"/>
        <w:jc w:val="righ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28"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30" w:before="0" w:after="0"/>
        <w:jc w:val="left"/>
        <w:rPr>
          <w:color w:val="000000"/>
        </w:rPr>
      </w:pPr>
      <w:r>
        <w:rPr>
          <w:color w:val="000000"/>
        </w:rPr>
        <w:t>“</w:t>
      </w:r>
      <w:r>
        <w:rPr>
          <w:rFonts w:ascii="Times New Roman;serif" w:hAnsi="Times New Roman;serif"/>
          <w:b w:val="false"/>
          <w:color w:val="000000"/>
          <w:sz w:val="20"/>
        </w:rPr>
        <w:t>interested stockholder” unless the corporation’s board of directors approves the combination (or the transaction by which such person becomes an “interested stockholder”) in advance, or unless the combination is approved by the board of directors and 60% of the corporation’s voting power not beneficially owned by the interested stockholder, its affiliates and associates. Furthermore, in the absence of prior approval certain restrictions may apply even after such two-year period. For purposes of these statutes, an “interested stockholder” is any person who is (1) the beneficial owner, directly or indirectly, of 10% or more of the voting power of the outstanding voting shares of the corporation, or (2) an affiliate or associate of the corporation and at any time within the two previous years was the beneficial owner, directly or indirectly, of 10% or more of the voting power of the then-outstanding shares of the corporation. The definition of the term “combination” is sufficiently broad to cover most significant transactions between a corporation and an “interested stockholder.”</w:t>
      </w:r>
    </w:p>
    <w:p>
      <w:pPr>
        <w:pStyle w:val="TextBody"/>
        <w:bidi w:val="0"/>
        <w:spacing w:before="0" w:after="0"/>
        <w:jc w:val="left"/>
        <w:rPr/>
      </w:pPr>
      <w:r>
        <w:rPr/>
      </w:r>
    </w:p>
    <w:p>
      <w:pPr>
        <w:pStyle w:val="TextBody"/>
        <w:bidi w:val="0"/>
        <w:spacing w:lineRule="auto" w:line="23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These statutes generally apply to Nevada corporations with 200 or more stockholders of record. However, a Nevada corporation may elect in its articles of incorporation not to be governed by these particular laws, but if such election is not made in the corporation’s original articles of incorporation, the amendment (1) must be approved by the affirmative vote of the holders of stock representing a majority of the outstanding voting power of the corporation not beneficially owned by interested stockholders or their affiliates and associates, and (2) is not effective until 18 months after the vote approving the amendment and does not apply to any combination with a person who first became an interested stockholder on or before the effective date of the amendment. </w:t>
      </w:r>
    </w:p>
    <w:p>
      <w:pPr>
        <w:pStyle w:val="TextBody"/>
        <w:bidi w:val="0"/>
        <w:spacing w:before="0" w:after="0"/>
        <w:jc w:val="left"/>
        <w:rPr/>
      </w:pPr>
      <w:r>
        <w:rPr/>
      </w:r>
    </w:p>
    <w:p>
      <w:pPr>
        <w:pStyle w:val="TextBody"/>
        <w:bidi w:val="0"/>
        <w:spacing w:lineRule="auto" w:line="23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In our amended and restated articles of incorporation, we have opted out of these provisions.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Acquisitions of Controlling Interests</w:t>
      </w:r>
    </w:p>
    <w:p>
      <w:pPr>
        <w:pStyle w:val="TextBody"/>
        <w:bidi w:val="0"/>
        <w:spacing w:before="0" w:after="0"/>
        <w:jc w:val="left"/>
        <w:rPr/>
      </w:pPr>
      <w:r>
        <w:rPr/>
      </w:r>
    </w:p>
    <w:p>
      <w:pPr>
        <w:pStyle w:val="TextBody"/>
        <w:bidi w:val="0"/>
        <w:spacing w:lineRule="auto" w:line="23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Nevada law also protects a corporation and its stockholders from persons acquiring a “controlling interest” in a corporation. These provisions are found in NRS 78.378 through 78.3793. Pursuant to NRS 78.379, any person who acquires a controlling interest in a corporation may not exercise voting rights with respect to any “control shares” unless such voting rights are conferred by a majority vote of the disinterested stockholders of the issuing corporation at a special meeting of such stockholders held at the request and at the expense of the acquiring person.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and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dissenter’s rights under NRS Chapter 92A.</w:t>
      </w:r>
    </w:p>
    <w:p>
      <w:pPr>
        <w:pStyle w:val="TextBody"/>
        <w:bidi w:val="0"/>
        <w:spacing w:before="0" w:after="0"/>
        <w:jc w:val="left"/>
        <w:rPr/>
      </w:pPr>
      <w:r>
        <w:rPr/>
      </w:r>
    </w:p>
    <w:p>
      <w:pPr>
        <w:pStyle w:val="TextBody"/>
        <w:bidi w:val="0"/>
        <w:spacing w:lineRule="auto" w:line="23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NRS 78.3788 provides that these statutes apply as of a particular date only to a corporation that has 200 or more stockholders of record, at least 100 of whom have addresses in Nevada appearing on the corporation’s stock ledger at all times during the 90 days immediately preceding that date, and which does business in Nevada directly or indirectly or through an affiliated corporation. NRS 78.378(2) provides that the corporation, by virtue of its articles of incorporation, bylaws or resolutions adopted by directors, may impose stricter requirements if it so desires. A corporation is entitled to opt out of these acquisition of controlling interest statutes by making an election in its articles of incorporation or bylaws, provided that the opt-out is in effect on the 10th day following the acquisition of a controlling interest by the acquiring person.</w:t>
      </w:r>
    </w:p>
    <w:p>
      <w:pPr>
        <w:pStyle w:val="TextBody"/>
        <w:bidi w:val="0"/>
        <w:spacing w:before="0" w:after="0"/>
        <w:jc w:val="left"/>
        <w:rPr/>
      </w:pPr>
      <w:r>
        <w:rPr/>
      </w:r>
    </w:p>
    <w:p>
      <w:pPr>
        <w:pStyle w:val="TextBody"/>
        <w:bidi w:val="0"/>
        <w:spacing w:lineRule="auto" w:line="24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In our amended and restated bylaws, we have opted out of these statutes.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Dissenter’s Rights</w:t>
      </w:r>
    </w:p>
    <w:p>
      <w:pPr>
        <w:pStyle w:val="TextBody"/>
        <w:bidi w:val="0"/>
        <w:spacing w:before="0" w:after="0"/>
        <w:jc w:val="left"/>
        <w:rPr/>
      </w:pPr>
      <w:r>
        <w:rPr/>
      </w:r>
    </w:p>
    <w:p>
      <w:pPr>
        <w:pStyle w:val="TextBody"/>
        <w:bidi w:val="0"/>
        <w:spacing w:lineRule="auto" w:line="23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Dissenting stockholders of a corporation engaged in certain major corporate transactions may be entitled to dissenter’s rights in Nevada. Pursuant to the NRS, stockholders who properly demand and perfect dissenter’s rights in connection with any corporate action giving rise to dissenter’s rights will have the right to receive payment of the fair value of their shares as determined by the District Court of the State of Nevada, plus interest, calculated in accordance with the applicable provisions of the NRS, on the amount to be the fair value, from the effective time of such corporate action through the date of payment of the judgment, in lieu of the consideration such stockholder would otherwise receive as a result of such action.</w:t>
      </w:r>
    </w:p>
    <w:p>
      <w:pPr>
        <w:pStyle w:val="TextBody"/>
        <w:bidi w:val="0"/>
        <w:spacing w:before="0" w:after="0"/>
        <w:jc w:val="left"/>
        <w:rPr/>
      </w:pPr>
      <w:r>
        <w:rPr/>
      </w:r>
    </w:p>
    <w:p>
      <w:pPr>
        <w:pStyle w:val="TextBody"/>
        <w:bidi w:val="0"/>
        <w:spacing w:lineRule="auto" w:line="23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NRS, a stockholder is entitled to dissent from, and obtain payment for, the fair value of the stockholder’s shares in the event of (i) certain acquisitions of a controlling interest in the corporation, (ii) consummation of a plan of merger, if approval by the stockholders is required for the merger, regardless of whether the stockholder is entitled to vote on the merger or if the domestic corporation is a subsidiary and is merged with its parent, or if the domestic corporation is a constituent entity in a merger pursuant to NRS 92A.133, (iii) </w:t>
      </w:r>
    </w:p>
    <w:p>
      <w:pPr>
        <w:pStyle w:val="TextBody"/>
        <w:bidi w:val="0"/>
        <w:spacing w:before="0" w:after="0"/>
        <w:jc w:val="righ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29"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consummation of a plan of conversion to which the corporation is a party, (iv) consummation of a plan of exchange in which the corporation is a party, (iv) any corporate action taken pursuant to a vote of the stockholders, if the articles of incorporation, bylaws or a resolution of the board of directors provides that voting or nonvoting stockholders are entitled to dissent and obtain payment for their shares, or (v) any corporate action to which the stockholder would be obligated, as a result of the corporate action, to accept money or scrip rather than receive a fraction of a share in exchange for the cancellation of all the stockholder’s outstanding shares, except where the stockholder would not be entitled to receive such payment pursuant to NRS 78.205, 78.2055 or 78.207.</w:t>
      </w:r>
    </w:p>
    <w:p>
      <w:pPr>
        <w:pStyle w:val="TextBody"/>
        <w:bidi w:val="0"/>
        <w:spacing w:before="0" w:after="0"/>
        <w:jc w:val="left"/>
        <w:rPr/>
      </w:pPr>
      <w:r>
        <w:rPr/>
      </w:r>
    </w:p>
    <w:p>
      <w:pPr>
        <w:pStyle w:val="TextBody"/>
        <w:bidi w:val="0"/>
        <w:spacing w:lineRule="auto" w:line="23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Our amended and restated articles of incorporation do not provide for any dissenter’s rights in addition to those provided by the NRS.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Stockholder Derivative Actions</w:t>
      </w:r>
    </w:p>
    <w:p>
      <w:pPr>
        <w:pStyle w:val="TextBody"/>
        <w:bidi w:val="0"/>
        <w:spacing w:before="0" w:after="0"/>
        <w:jc w:val="left"/>
        <w:rPr/>
      </w:pPr>
      <w:r>
        <w:rPr/>
      </w:r>
    </w:p>
    <w:p>
      <w:pPr>
        <w:pStyle w:val="TextBody"/>
        <w:bidi w:val="0"/>
        <w:spacing w:lineRule="auto" w:line="23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Under Nevada law, any of our stockholders may bring an action in our name to enforce any rights we have and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Nevada law regarding derivative actions, including by making a pre-suit demand on our board of directors to pursue the claims or satisfying its burden to show that any pre-suit demand would be futile, and demonstrating that it is a fair and adequate representative of the interests of similarly-situated stockholders. Derivative actions may not be dismissed—including if there is a settlement—without notice to the stockholders and court approval.</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Provisions of our Amended and Restated Articles of Incorporation and Amended and Restated Bylaws</w:t>
      </w:r>
    </w:p>
    <w:p>
      <w:pPr>
        <w:pStyle w:val="TextBody"/>
        <w:bidi w:val="0"/>
        <w:spacing w:before="0" w:after="0"/>
        <w:jc w:val="left"/>
        <w:rPr/>
      </w:pPr>
      <w:r>
        <w:rPr/>
      </w:r>
    </w:p>
    <w:p>
      <w:pPr>
        <w:pStyle w:val="TextBody"/>
        <w:bidi w:val="0"/>
        <w:spacing w:lineRule="auto" w:line="23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Our amended and restated articles of incorporation and our amended and restated bylaws contain provisions that could make the following actions and transactions, among others,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Multiple Classes of Stock</w:t>
      </w:r>
    </w:p>
    <w:p>
      <w:pPr>
        <w:pStyle w:val="TextBody"/>
        <w:bidi w:val="0"/>
        <w:spacing w:before="0" w:after="0"/>
        <w:jc w:val="left"/>
        <w:rPr/>
      </w:pPr>
      <w:r>
        <w:rPr/>
      </w:r>
    </w:p>
    <w:p>
      <w:pPr>
        <w:pStyle w:val="TextBody"/>
        <w:bidi w:val="0"/>
        <w:spacing w:lineRule="auto" w:line="23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Our amended and restated articles of incorporation provides for a multiple class common stock structure, which provides our Founders with significant influence over all matters requiring stockholder approval, including the election of directors and approval of significant corporate transactions otherwise approved by our board of directors, such as a merger or other sale of our company or its assets.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Undesignated Preferred Stock</w:t>
      </w:r>
    </w:p>
    <w:p>
      <w:pPr>
        <w:pStyle w:val="TextBody"/>
        <w:bidi w:val="0"/>
        <w:spacing w:before="0" w:after="0"/>
        <w:jc w:val="left"/>
        <w:rPr/>
      </w:pPr>
      <w:r>
        <w:rPr/>
      </w:r>
    </w:p>
    <w:p>
      <w:pPr>
        <w:pStyle w:val="TextBody"/>
        <w:bidi w:val="0"/>
        <w:spacing w:lineRule="auto" w:line="23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The ability to designate a series of our authorized “blank check”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Special Stockholder Meetings</w:t>
      </w:r>
    </w:p>
    <w:p>
      <w:pPr>
        <w:pStyle w:val="TextBody"/>
        <w:bidi w:val="0"/>
        <w:spacing w:before="0" w:after="0"/>
        <w:jc w:val="left"/>
        <w:rPr/>
      </w:pPr>
      <w:r>
        <w:rPr/>
      </w:r>
    </w:p>
    <w:p>
      <w:pPr>
        <w:pStyle w:val="TextBody"/>
        <w:bidi w:val="0"/>
        <w:spacing w:lineRule="auto" w:line="23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Our amended and restated articles of incorporation and amended and restated bylaws provide that, subject to the terms of any series of preferred stock, a special meeting of stockholders may only be called by the chair of our board of directors, a majority of the directors then in office or by the Chief Executive Officer. To the extent permitted under applicable law, we may conduct meetings solely by means of remote communications.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Stockholder Action by Written Consent</w:t>
      </w:r>
    </w:p>
    <w:p>
      <w:pPr>
        <w:pStyle w:val="TextBody"/>
        <w:bidi w:val="0"/>
        <w:spacing w:before="0" w:after="0"/>
        <w:jc w:val="left"/>
        <w:rPr/>
      </w:pPr>
      <w:r>
        <w:rPr/>
      </w:r>
    </w:p>
    <w:p>
      <w:pPr>
        <w:pStyle w:val="TextBody"/>
        <w:bidi w:val="0"/>
        <w:spacing w:lineRule="auto" w:line="23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Our amended and restated articles of incorporation provides that, before the date (the “Trigger Date”) that our Founders collectively no longer beneficially own more than fifty percent (50%) of the total combined voting power of the outstanding common stock entitled to vote generally in the election of directors, any action required or permitted to be taken at any annual or special meeting of stockholders may be taken without a meeting with a written consent by stockholders holding at least a majority of the voting power of the then-outstanding capital stock entitled to vote thereon, and from and after the Trigger Date, no action may be taken by our stockholders by written consent.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Requirements for Advance Notification of Stockholder Proposals and Nominations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30"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3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establishes advance notice procedures with respect to stockholder proposals and the nomination of candidates for election as directors, other than nominations made by or at the direction of the board of directors or a committee of the board of directors.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Classified Board; Election and Removal of Directors; Filling Vacancies</w:t>
      </w:r>
    </w:p>
    <w:p>
      <w:pPr>
        <w:pStyle w:val="TextBody"/>
        <w:bidi w:val="0"/>
        <w:spacing w:before="0" w:after="0"/>
        <w:jc w:val="left"/>
        <w:rPr/>
      </w:pPr>
      <w:r>
        <w:rPr/>
      </w:r>
    </w:p>
    <w:p>
      <w:pPr>
        <w:pStyle w:val="TextBody"/>
        <w:bidi w:val="0"/>
        <w:spacing w:lineRule="auto" w:line="24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Our amended and restated articles of incorporation provides that, from and after the Trigger Date, our board of directors will be divided into three classes, divided as nearly as equal in number as possible, where such directors in each class will serve for staggered three-year terms, with only one class of directors elected at each annual meeting of our stockholders, with the other classes continuing for the remainder of their respective three-year terms. Because our stockholders do not have cumulative voting rights, our stockholders holding a majority of the voting power of the then-outstanding capital stock are able to elect any director standing for election. Consistent with the minimum requirements under Nevada law, our amended and restated articles of incorporation provides for the removal of any of our directors only upon a stockholder vote by the holders of not less than the minimum percentage of the voting power of the issued and outstanding shares of capital stock entitled to vote thereon, voting together as a single class, then permitted under the NRS (and not less than a majority), which presently is not less than 66⅔% of such voting power. Our amended and restated articles of incorporation provides that, from and after the Trigger Date, in addition to the minimum percentage of the voting power permitted under the NRS, directors may only be removed for cause. Further, our board of directors has the exclusive right to set the size of the board of directors, and any vacancy on our board of directors, however occurring, including a vacancy resulting from an increase in the size of the board, may only be filled by a resolution of the board of directors.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Amendment</w:t>
      </w:r>
    </w:p>
    <w:p>
      <w:pPr>
        <w:pStyle w:val="TextBody"/>
        <w:bidi w:val="0"/>
        <w:spacing w:before="0" w:after="0"/>
        <w:jc w:val="left"/>
        <w:rPr/>
      </w:pPr>
      <w:r>
        <w:rPr/>
      </w:r>
    </w:p>
    <w:p>
      <w:pPr>
        <w:pStyle w:val="TextBody"/>
        <w:bidi w:val="0"/>
        <w:spacing w:lineRule="auto" w:line="23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Any amendment of our amended and restated articles of incorporation relating to our capital stock, the management of our business, our board of directors, stockholder action by written consent, calling special meetings of stockholders, forum selection and the liability of our directors and officers, or the amendment, alteration, rescission or repeal our amended and restated bylaws requires the approval by holders of at least 66⅔% of the voting power of all of the then-outstanding capital stock entitled to vote thereon, voting together as a single class. In addition, any amendment to our amended and restated bylaws requires the approval by holders of at least 66⅔% of the voting power of all of the then-outstanding capital stock entitled to vote thereon, voting together as a single class.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Exclusive Forum and Limited Waiver of Jury Trial</w:t>
      </w:r>
    </w:p>
    <w:p>
      <w:pPr>
        <w:pStyle w:val="TextBody"/>
        <w:bidi w:val="0"/>
        <w:spacing w:before="0" w:after="0"/>
        <w:jc w:val="left"/>
        <w:rPr/>
      </w:pPr>
      <w:r>
        <w:rPr/>
      </w:r>
    </w:p>
    <w:p>
      <w:pPr>
        <w:pStyle w:val="TextBody"/>
        <w:bidi w:val="0"/>
        <w:spacing w:lineRule="auto" w:line="23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Our amended and restated articles of incorporation provides that, unless we consent in writing to the selection of an alternative forum, to the fullest extent permitted by law, the Eighth Judicial District Court of the State of Nevada sitting in Clark County, Nevada, is the sole and exclusive forum for any actions, suits or proceedings, whether civil, administrative or investigative, (a) brought in the name or right of us or on our behalf, (b) asserting a claim for breach of any fiduciary duty owed by any current or former director, officer, stockholder, employee, or agent or fiduciary of us to us or our stockholders, (c) for any internal action (as defined in NRS 78.046), including any action asserting a claim against us arising pursuant to any provision of NRS Chapters 78 or 92A, our amended and restated articles of incorporation or our amended and restated bylaws, any agreement entered into pursuant to NRS 78.365 or as to which the NRS confers jurisdiction on the district court of the State of Nevada, (d) to interpret, apply, enforce or determine the validity of our amended and restated articles of incorporation or our amended and restated bylaws, or (e) asserting a claim governed by the internal affairs doctrine; provided that such exclusive forum provisions do not apply to suits brought to enforce any liability or duty created by the Exchange Act or any other claim for which the federal courts have exclusive jurisdiction.</w:t>
      </w:r>
    </w:p>
    <w:p>
      <w:pPr>
        <w:pStyle w:val="TextBody"/>
        <w:bidi w:val="0"/>
        <w:spacing w:before="0" w:after="0"/>
        <w:jc w:val="left"/>
        <w:rPr/>
      </w:pPr>
      <w:r>
        <w:rPr/>
      </w:r>
    </w:p>
    <w:p>
      <w:pPr>
        <w:pStyle w:val="TextBody"/>
        <w:bidi w:val="0"/>
        <w:spacing w:lineRule="auto" w:line="23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Further, our amended and restated articles of incorporation provides that, in the event that the Eighth Judicial District Court of Clark County, Nevada does not have jurisdiction over any such action, suit or proceeding, then any other state district court located in the State of Nevada is the sole and exclusive forum and, in the event that no state district court in the State of Nevada has jurisdiction over any such action, suit or proceeding, then a federal district court of the United States located within the State of Nevada is the sole and exclusive forum. Unless we consent otherwise to the selection of an alternative forum, the federal district courts of the United States is the sole and exclusive forum for the resolution of any claim asserting a cause of action arising under the Securities Act, against any person in connection with any offering of the our securities. However,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w:t>
      </w:r>
    </w:p>
    <w:p>
      <w:pPr>
        <w:pStyle w:val="TextBody"/>
        <w:bidi w:val="0"/>
        <w:spacing w:before="0" w:after="0"/>
        <w:jc w:val="left"/>
        <w:rPr/>
      </w:pPr>
      <w:r>
        <w:rPr/>
      </w:r>
    </w:p>
    <w:p>
      <w:pPr>
        <w:pStyle w:val="TextBody"/>
        <w:bidi w:val="0"/>
        <w:spacing w:lineRule="auto" w:line="23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articles of incorporation further provides that, to the fullest extent not inconsistent with any applicable U.S. federal laws (including the Securities Act and the Exchange Act), any and all “internal actions” (as defined in NRS 78.046) must be tried in a court of competent jurisdiction (subject to the exclusive forum provisions in our amended and restated articles of incorporation) before the presiding judge as the trier of fact </w:t>
      </w:r>
    </w:p>
    <w:p>
      <w:pPr>
        <w:pStyle w:val="TextBody"/>
        <w:bidi w:val="0"/>
        <w:spacing w:before="0" w:after="0"/>
        <w:jc w:val="righ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31"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and not before a jury. Pursuant to NRS 78.046 (as amended effective May 30, 2025, pursuant to Assembly Bill No. 239), such requirement conclusively operates as a waiver of the right to trial by jury by each party to any such internal action, but not to the extent any such waiver would be inconsistent with or prohibited under the federal securities laws (including the Securities Act and the Exchange Act) and the rules and regulations thereunder. Under NRS 78.046, the limited waiver of trial by jury is only intended to apply to “internal actions” brought in state courts in the State of Nevada and does not limit or otherwise affect any right to a jury trial in any other action, suit or proceeding (including in state courts outside of Nevada and U.S. federal courts). Therefore, the limited waiver of trial by jury does not apply to claims brought under the Exchange Act, which are subject to exclusive federal jurisdiction, and only apply to Securities Act claims if such claims are properly brought in state courts in the State of Nevada and constitute an “internal action” under NRS 78.046.</w:t>
      </w:r>
    </w:p>
    <w:p>
      <w:pPr>
        <w:pStyle w:val="TextBody"/>
        <w:bidi w:val="0"/>
        <w:spacing w:before="0" w:after="0"/>
        <w:jc w:val="left"/>
        <w:rPr/>
      </w:pPr>
      <w:r>
        <w:rPr/>
      </w:r>
    </w:p>
    <w:p>
      <w:pPr>
        <w:pStyle w:val="TextBody"/>
        <w:bidi w:val="0"/>
        <w:spacing w:lineRule="auto" w:line="23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To the fullest extent permitted by applicable law, any person or entity purchasing or otherwise acquiring any interest in shares of our capital stock shall be deemed to have notice of and consented to the forum and limited jury waiver provisions in our amended and restated articles of incorporation, except our stockholders are not deemed to have waived (and cannot waive) compliance with the federal securities laws (including the Securities Act and the Exchange Act) and the rules and regulations thereunder. These choice of forum and jury waiver provisions, to the extent applicable and enforceable, may limit a stockholder’s ability to bring a claim in a judicial forum, even if such stockholder may believe such different forum or trial by jury to be favorable or convenient for disputes with us or any of our current or former directors, officers, other employees, or stockholders which may discourage lawsuits with respect to such claims. Alternatively, if a court were to find these provisions contained in our amended and restated articles of incorporation to be inapplicable or unenforceable in an action, we may incur additional costs associated with resolving such action in other jurisdictions or before a jury, which could harm our business, results of operations, and financial condition.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Limitation on Liability and Indemnification</w:t>
      </w:r>
    </w:p>
    <w:p>
      <w:pPr>
        <w:pStyle w:val="TextBody"/>
        <w:bidi w:val="0"/>
        <w:spacing w:before="0" w:after="0"/>
        <w:jc w:val="left"/>
        <w:rPr/>
      </w:pPr>
      <w:r>
        <w:rPr/>
      </w:r>
    </w:p>
    <w:p>
      <w:pPr>
        <w:pStyle w:val="TextBody"/>
        <w:bidi w:val="0"/>
        <w:spacing w:lineRule="auto" w:line="22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To the fullest extent permitted by NRS Chapter 78, our directors and officers are not liable to us or any of our stockholders or creditors for monetary damages for breaches of fiduciary duties as a director or officer. Under Nevada law, unless otherwise provided in the articles of incorporation or pursuant to certain statutory exceptions, a director or officer is not individually liable for damages as a result of an act or failure to act in his or her capacity as a director or officer unless a statutory presumption established under NRS 78.138(3) (that such person, in deciding upon matters of business, acted in good faith, on an informed basis and with a view to the interests of the corporation) has been rebutted, and it is proven both that the act or failure to act constituted a breach of a fiduciary duty as a director or officer and that such breach involved intentional misconduct, fraud or a knowing violation of law. Our amended and restated articles of incorporation and amended and restated bylaws include a provision that eliminates the individual liability of our directors and officers to the fullest extent permitted under Nevada law. In addition, we will indemnify, to the fullest extent permitted by applicable law, any person involved in any suit or action by reason of the fact that such person is or was a director or officer of ours or, at our request, a director, officer, employee or agent of another corporation or entity, against all liability, loss and expenses incurred by such person. We will pay expenses of a director or officer in defending any proceeding in advance of its final disposition, provided that such payment is made upon receipt of an undertaking by the director or officer to repay the amounts advanced if it should be ultimately determined that the director or officer is not entitled to indemnification.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before="0" w:after="0"/>
        <w:jc w:val="left"/>
        <w:rPr/>
      </w:pPr>
      <w:r>
        <w:rPr/>
      </w:r>
    </w:p>
    <w:p>
      <w:pPr>
        <w:pStyle w:val="TextBody"/>
        <w:bidi w:val="0"/>
        <w:spacing w:lineRule="auto" w:line="24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Class A common stock is Equiniti Trust Company, LLC. The transfer agent’s address is 28 Liberty Street, 53rd Floor, New York, NY 10005.</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before="0" w:after="0"/>
        <w:jc w:val="left"/>
        <w:rPr/>
      </w:pPr>
      <w:r>
        <w:rPr/>
      </w:r>
    </w:p>
    <w:p>
      <w:pPr>
        <w:pStyle w:val="TextBody"/>
        <w:bidi w:val="0"/>
        <w:spacing w:lineRule="auto" w:line="240"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 xml:space="preserve">Our Class A common stock is listed on the Nasdaq Global Select Market under the symbol “GEMI.” </w:t>
      </w:r>
    </w:p>
    <w:p>
      <w:pPr>
        <w:pStyle w:val="TextBody"/>
        <w:bidi w:val="0"/>
        <w:spacing w:before="0" w:after="283"/>
        <w:jc w:val="left"/>
        <w:rPr/>
      </w:pPr>
      <w:r>
        <w:rPr/>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6"/>
          <w:u w:val="none"/>
          <w:effect w:val="none"/>
          <w:shd w:fill="E4E4E4" w:val="clear"/>
        </w:rPr>
      </w:pPr>
      <w:bookmarkStart w:id="1" w:name="firstamendmenttocreditagre.htm"/>
      <w:bookmarkStart w:id="2" w:name="ksfirstamendmenttocreditagre"/>
      <w:bookmarkEnd w:id="1"/>
      <w:bookmarkEnd w:id="2"/>
      <w:r>
        <w:rPr>
          <w:rFonts w:ascii="Times New Roman;serif" w:hAnsi="Times New Roman;serif"/>
          <w:b w:val="false"/>
          <w:i w:val="false"/>
          <w:caps w:val="false"/>
          <w:smallCaps w:val="false"/>
          <w:strike w:val="false"/>
          <w:dstrike w:val="false"/>
          <w:sz w:val="16"/>
          <w:u w:val="none"/>
          <w:effect w:val="none"/>
          <w:shd w:fill="E4E4E4" w:val="clear"/>
        </w:rPr>
        <w:t>1751817926 25792241</w:t>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32"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2" w:before="0" w:after="0"/>
        <w:jc w:val="left"/>
        <w:rPr>
          <w:rFonts w:ascii="Times New Roman;serif" w:hAnsi="Times New Roman;serif"/>
          <w:b/>
          <w:i w:val="false"/>
          <w:caps w:val="false"/>
          <w:smallCaps w:val="false"/>
          <w:strike w:val="false"/>
          <w:dstrike w:val="false"/>
          <w:sz w:val="24"/>
          <w:u w:val="none"/>
          <w:effect w:val="none"/>
          <w:shd w:fill="E4E4E4" w:val="clear"/>
        </w:rPr>
      </w:pPr>
      <w:r>
        <w:rPr>
          <w:rFonts w:ascii="Times New Roman;serif" w:hAnsi="Times New Roman;serif"/>
          <w:b/>
          <w:i w:val="false"/>
          <w:caps w:val="false"/>
          <w:smallCaps w:val="false"/>
          <w:strike w:val="false"/>
          <w:dstrike w:val="false"/>
          <w:sz w:val="24"/>
          <w:u w:val="none"/>
          <w:effect w:val="none"/>
          <w:shd w:fill="E4E4E4" w:val="clear"/>
        </w:rPr>
        <w:t>FIRST AMENDMENT TO</w:t>
      </w:r>
    </w:p>
    <w:p>
      <w:pPr>
        <w:pStyle w:val="TextBody"/>
        <w:bidi w:val="0"/>
        <w:spacing w:lineRule="atLeast" w:line="162" w:before="0" w:after="0"/>
        <w:jc w:val="left"/>
        <w:rPr>
          <w:rFonts w:ascii="Times New Roman;serif" w:hAnsi="Times New Roman;serif"/>
          <w:b/>
          <w:i w:val="false"/>
          <w:caps w:val="false"/>
          <w:smallCaps w:val="false"/>
          <w:strike w:val="false"/>
          <w:dstrike w:val="false"/>
          <w:sz w:val="24"/>
          <w:u w:val="none"/>
          <w:effect w:val="none"/>
          <w:shd w:fill="E4E4E4" w:val="clear"/>
        </w:rPr>
      </w:pPr>
      <w:r>
        <w:rPr>
          <w:rFonts w:ascii="Times New Roman;serif" w:hAnsi="Times New Roman;serif"/>
          <w:b/>
          <w:i w:val="false"/>
          <w:caps w:val="false"/>
          <w:smallCaps w:val="false"/>
          <w:strike w:val="false"/>
          <w:dstrike w:val="false"/>
          <w:sz w:val="24"/>
          <w:u w:val="none"/>
          <w:effect w:val="none"/>
          <w:shd w:fill="E4E4E4" w:val="clear"/>
        </w:rPr>
        <w:t>CREDIT AGREEMENT</w:t>
      </w:r>
    </w:p>
    <w:p>
      <w:pPr>
        <w:pStyle w:val="TextBody"/>
        <w:bidi w:val="0"/>
        <w:spacing w:lineRule="atLeast" w:line="162" w:before="0" w:after="0"/>
        <w:jc w:val="left"/>
        <w:rPr>
          <w:rFonts w:ascii="Times New Roman;serif" w:hAnsi="Times New Roman;serif"/>
          <w:b/>
          <w:i w:val="false"/>
          <w:caps w:val="false"/>
          <w:smallCaps w:val="false"/>
          <w:strike w:val="false"/>
          <w:dstrike w:val="false"/>
          <w:sz w:val="24"/>
          <w:u w:val="none"/>
          <w:effect w:val="none"/>
          <w:shd w:fill="E4E4E4" w:val="clear"/>
        </w:rPr>
      </w:pPr>
      <w:r>
        <w:rPr>
          <w:rFonts w:ascii="Times New Roman;serif" w:hAnsi="Times New Roman;serif"/>
          <w:b/>
          <w:i w:val="false"/>
          <w:caps w:val="false"/>
          <w:smallCaps w:val="false"/>
          <w:strike w:val="false"/>
          <w:dstrike w:val="false"/>
          <w:sz w:val="24"/>
          <w:u w:val="none"/>
          <w:effect w:val="none"/>
          <w:shd w:fill="E4E4E4" w:val="clear"/>
        </w:rPr>
        <w:t>AGREEMENT</w:t>
      </w:r>
      <w:r>
        <mc:AlternateContent>
          <mc:Choice Requires="wps">
            <w:drawing>
              <wp:anchor behindDoc="0" distT="0" distB="0" distL="0" distR="0" simplePos="0" locked="0" layoutInCell="1" allowOverlap="1" relativeHeight="278">
                <wp:simplePos x="0" y="0"/>
                <wp:positionH relativeFrom="page">
                  <wp:posOffset>914400</wp:posOffset>
                </wp:positionH>
                <wp:positionV relativeFrom="line">
                  <wp:posOffset>635</wp:posOffset>
                </wp:positionV>
                <wp:extent cx="5942330" cy="175260"/>
                <wp:effectExtent l="0" t="0" r="0" b="0"/>
                <wp:wrapNone/>
                <wp:docPr id="233" name="Frame239"/>
                <a:graphic xmlns:a="http://schemas.openxmlformats.org/drawingml/2006/main">
                  <a:graphicData uri="http://schemas.microsoft.com/office/word/2010/wordprocessingShape">
                    <wps:wsp>
                      <wps:cNvSpPr txBox="1"/>
                      <wps:spPr>
                        <a:xfrm>
                          <a:off x="0" y="0"/>
                          <a:ext cx="59423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having its principal location in New York, New York, as servicer (in such capacity, the</w:t>
                            </w:r>
                          </w:p>
                        </w:txbxContent>
                      </wps:txbx>
                      <wps:bodyPr anchor="t" lIns="0" tIns="0" rIns="0" bIns="0">
                        <a:noAutofit/>
                      </wps:bodyPr>
                    </wps:wsp>
                  </a:graphicData>
                </a:graphic>
              </wp:anchor>
            </w:drawing>
          </mc:Choice>
          <mc:Fallback>
            <w:pict>
              <v:rect style="position:absolute;rotation:-0;width:467.9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having its principal location in New York, New York, as servicer (in such capacity, the</w:t>
                      </w:r>
                    </w:p>
                  </w:txbxContent>
                </v:textbox>
                <w10:wrap type="none"/>
              </v:rect>
            </w:pict>
          </mc:Fallback>
        </mc:AlternateContent>
      </w:r>
      <w:r>
        <mc:AlternateContent>
          <mc:Choice Requires="wps">
            <w:drawing>
              <wp:anchor behindDoc="0" distT="0" distB="0" distL="0" distR="0" simplePos="0" locked="0" layoutInCell="1" allowOverlap="1" relativeHeight="292">
                <wp:simplePos x="0" y="0"/>
                <wp:positionH relativeFrom="page">
                  <wp:posOffset>2352040</wp:posOffset>
                </wp:positionH>
                <wp:positionV relativeFrom="line">
                  <wp:posOffset>635</wp:posOffset>
                </wp:positionV>
                <wp:extent cx="156210" cy="350520"/>
                <wp:effectExtent l="0" t="0" r="0" b="0"/>
                <wp:wrapNone/>
                <wp:docPr id="234" name="Frame253"/>
                <a:graphic xmlns:a="http://schemas.openxmlformats.org/drawingml/2006/main">
                  <a:graphicData uri="http://schemas.microsoft.com/office/word/2010/wordprocessingShape">
                    <wps:wsp>
                      <wps:cNvSpPr txBox="1"/>
                      <wps:spPr>
                        <a:xfrm>
                          <a:off x="0" y="0"/>
                          <a:ext cx="156210" cy="35052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w:t>
                            </w:r>
                          </w:p>
                        </w:txbxContent>
                      </wps:txbx>
                      <wps:bodyPr anchor="t" lIns="0" tIns="0" rIns="0" bIns="0">
                        <a:noAutofit/>
                      </wps:bodyPr>
                    </wps:wsp>
                  </a:graphicData>
                </a:graphic>
              </wp:anchor>
            </w:drawing>
          </mc:Choice>
          <mc:Fallback>
            <w:pict>
              <v:rect style="position:absolute;rotation:-0;width:12.3pt;height:27.6pt;mso-wrap-distance-left:0pt;mso-wrap-distance-right:0pt;mso-wrap-distance-top:0pt;mso-wrap-distance-bottom:0pt;margin-top:0pt;mso-position-vertical:top;mso-position-vertical-relative:text;margin-left:185.2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291">
                <wp:simplePos x="0" y="0"/>
                <wp:positionH relativeFrom="page">
                  <wp:posOffset>1256665</wp:posOffset>
                </wp:positionH>
                <wp:positionV relativeFrom="line">
                  <wp:posOffset>635</wp:posOffset>
                </wp:positionV>
                <wp:extent cx="1095375" cy="350520"/>
                <wp:effectExtent l="0" t="0" r="0" b="0"/>
                <wp:wrapNone/>
                <wp:docPr id="235" name="Frame252"/>
                <a:graphic xmlns:a="http://schemas.openxmlformats.org/drawingml/2006/main">
                  <a:graphicData uri="http://schemas.microsoft.com/office/word/2010/wordprocessingShape">
                    <wps:wsp>
                      <wps:cNvSpPr txBox="1"/>
                      <wps:spPr>
                        <a:xfrm>
                          <a:off x="0" y="0"/>
                          <a:ext cx="109537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Credit Agreement</w:t>
                            </w:r>
                          </w:p>
                        </w:txbxContent>
                      </wps:txbx>
                      <wps:bodyPr anchor="t" lIns="0" tIns="0" rIns="0" bIns="0">
                        <a:noAutofit/>
                      </wps:bodyPr>
                    </wps:wsp>
                  </a:graphicData>
                </a:graphic>
              </wp:anchor>
            </w:drawing>
          </mc:Choice>
          <mc:Fallback>
            <w:pict>
              <v:rect style="position:absolute;rotation:-0;width:86.25pt;height:27.6pt;mso-wrap-distance-left:0pt;mso-wrap-distance-right:0pt;mso-wrap-distance-top:0pt;mso-wrap-distance-bottom:0pt;margin-top:0pt;mso-position-vertical:top;mso-position-vertical-relative:text;margin-left:98.9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Credit Agreement</w:t>
                      </w:r>
                    </w:p>
                  </w:txbxContent>
                </v:textbox>
                <w10:wrap type="none"/>
              </v:rect>
            </w:pict>
          </mc:Fallback>
        </mc:AlternateContent>
      </w:r>
      <w:r>
        <mc:AlternateContent>
          <mc:Choice Requires="wps">
            <w:drawing>
              <wp:anchor behindDoc="0" distT="0" distB="0" distL="0" distR="0" simplePos="0" locked="0" layoutInCell="1" allowOverlap="1" relativeHeight="290">
                <wp:simplePos x="0" y="0"/>
                <wp:positionH relativeFrom="page">
                  <wp:posOffset>914400</wp:posOffset>
                </wp:positionH>
                <wp:positionV relativeFrom="line">
                  <wp:posOffset>635</wp:posOffset>
                </wp:positionV>
                <wp:extent cx="342265" cy="350520"/>
                <wp:effectExtent l="0" t="0" r="0" b="0"/>
                <wp:wrapNone/>
                <wp:docPr id="236" name="Frame251"/>
                <a:graphic xmlns:a="http://schemas.openxmlformats.org/drawingml/2006/main">
                  <a:graphicData uri="http://schemas.microsoft.com/office/word/2010/wordprocessingShape">
                    <wps:wsp>
                      <wps:cNvSpPr txBox="1"/>
                      <wps:spPr>
                        <a:xfrm>
                          <a:off x="0" y="0"/>
                          <a:ext cx="34226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w:t>
                            </w:r>
                          </w:p>
                        </w:txbxContent>
                      </wps:txbx>
                      <wps:bodyPr anchor="t" lIns="0" tIns="0" rIns="0" bIns="0">
                        <a:noAutofit/>
                      </wps:bodyPr>
                    </wps:wsp>
                  </a:graphicData>
                </a:graphic>
              </wp:anchor>
            </w:drawing>
          </mc:Choice>
          <mc:Fallback>
            <w:pict>
              <v:rect style="position:absolute;rotation:-0;width:26.95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w:t>
                      </w:r>
                    </w:p>
                  </w:txbxContent>
                </v:textbox>
                <w10:wrap type="none"/>
              </v:rect>
            </w:pict>
          </mc:Fallback>
        </mc:AlternateContent>
      </w:r>
      <w:r>
        <mc:AlternateContent>
          <mc:Choice Requires="wps">
            <w:drawing>
              <wp:anchor behindDoc="0" distT="0" distB="0" distL="0" distR="0" simplePos="0" locked="0" layoutInCell="1" allowOverlap="1" relativeHeight="289">
                <wp:simplePos x="0" y="0"/>
                <wp:positionH relativeFrom="page">
                  <wp:posOffset>6856730</wp:posOffset>
                </wp:positionH>
                <wp:positionV relativeFrom="line">
                  <wp:posOffset>635</wp:posOffset>
                </wp:positionV>
                <wp:extent cx="38100" cy="175260"/>
                <wp:effectExtent l="0" t="0" r="0" b="0"/>
                <wp:wrapNone/>
                <wp:docPr id="237" name="Frame25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88">
                <wp:simplePos x="0" y="0"/>
                <wp:positionH relativeFrom="page">
                  <wp:posOffset>914400</wp:posOffset>
                </wp:positionH>
                <wp:positionV relativeFrom="line">
                  <wp:posOffset>635</wp:posOffset>
                </wp:positionV>
                <wp:extent cx="5942330" cy="175260"/>
                <wp:effectExtent l="0" t="0" r="0" b="0"/>
                <wp:wrapNone/>
                <wp:docPr id="238" name="Frame249"/>
                <a:graphic xmlns:a="http://schemas.openxmlformats.org/drawingml/2006/main">
                  <a:graphicData uri="http://schemas.microsoft.com/office/word/2010/wordprocessingShape">
                    <wps:wsp>
                      <wps:cNvSpPr txBox="1"/>
                      <wps:spPr>
                        <a:xfrm>
                          <a:off x="0" y="0"/>
                          <a:ext cx="59423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Agreement, dated as of July 11, 2025, by and among the Borrower, the Servicer and the Lender</w:t>
                            </w:r>
                          </w:p>
                        </w:txbxContent>
                      </wps:txbx>
                      <wps:bodyPr anchor="t" lIns="0" tIns="0" rIns="0" bIns="0">
                        <a:noAutofit/>
                      </wps:bodyPr>
                    </wps:wsp>
                  </a:graphicData>
                </a:graphic>
              </wp:anchor>
            </w:drawing>
          </mc:Choice>
          <mc:Fallback>
            <w:pict>
              <v:rect style="position:absolute;rotation:-0;width:467.9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Agreement, dated as of July 11, 2025, by and among the Borrower, the Servicer and the Lender</w:t>
                      </w:r>
                    </w:p>
                  </w:txbxContent>
                </v:textbox>
                <w10:wrap type="none"/>
              </v:rect>
            </w:pict>
          </mc:Fallback>
        </mc:AlternateContent>
      </w:r>
      <w:r>
        <mc:AlternateContent>
          <mc:Choice Requires="wps">
            <w:drawing>
              <wp:anchor behindDoc="0" distT="0" distB="0" distL="0" distR="0" simplePos="0" locked="0" layoutInCell="1" allowOverlap="1" relativeHeight="287">
                <wp:simplePos x="0" y="0"/>
                <wp:positionH relativeFrom="page">
                  <wp:posOffset>6856730</wp:posOffset>
                </wp:positionH>
                <wp:positionV relativeFrom="line">
                  <wp:posOffset>635</wp:posOffset>
                </wp:positionV>
                <wp:extent cx="38100" cy="175260"/>
                <wp:effectExtent l="0" t="0" r="0" b="0"/>
                <wp:wrapNone/>
                <wp:docPr id="239" name="Frame24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86">
                <wp:simplePos x="0" y="0"/>
                <wp:positionH relativeFrom="page">
                  <wp:posOffset>914400</wp:posOffset>
                </wp:positionH>
                <wp:positionV relativeFrom="line">
                  <wp:posOffset>635</wp:posOffset>
                </wp:positionV>
                <wp:extent cx="5942330" cy="175260"/>
                <wp:effectExtent l="0" t="0" r="0" b="0"/>
                <wp:wrapNone/>
                <wp:docPr id="240" name="Frame247"/>
                <a:graphic xmlns:a="http://schemas.openxmlformats.org/drawingml/2006/main">
                  <a:graphicData uri="http://schemas.microsoft.com/office/word/2010/wordprocessingShape">
                    <wps:wsp>
                      <wps:cNvSpPr txBox="1"/>
                      <wps:spPr>
                        <a:xfrm>
                          <a:off x="0" y="0"/>
                          <a:ext cx="59423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otherwise defined herein shall have the respective meanings set forth in that certain Credit</w:t>
                            </w:r>
                          </w:p>
                        </w:txbxContent>
                      </wps:txbx>
                      <wps:bodyPr anchor="t" lIns="0" tIns="0" rIns="0" bIns="0">
                        <a:noAutofit/>
                      </wps:bodyPr>
                    </wps:wsp>
                  </a:graphicData>
                </a:graphic>
              </wp:anchor>
            </w:drawing>
          </mc:Choice>
          <mc:Fallback>
            <w:pict>
              <v:rect style="position:absolute;rotation:-0;width:467.9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otherwise defined herein shall have the respective meanings set forth in that certain Credit</w:t>
                      </w:r>
                    </w:p>
                  </w:txbxContent>
                </v:textbox>
                <w10:wrap type="none"/>
              </v:rect>
            </w:pict>
          </mc:Fallback>
        </mc:AlternateContent>
      </w:r>
      <w:r>
        <mc:AlternateContent>
          <mc:Choice Requires="wps">
            <w:drawing>
              <wp:anchor behindDoc="0" distT="0" distB="0" distL="0" distR="0" simplePos="0" locked="0" layoutInCell="1" allowOverlap="1" relativeHeight="285">
                <wp:simplePos x="0" y="0"/>
                <wp:positionH relativeFrom="page">
                  <wp:posOffset>6856730</wp:posOffset>
                </wp:positionH>
                <wp:positionV relativeFrom="line">
                  <wp:posOffset>635</wp:posOffset>
                </wp:positionV>
                <wp:extent cx="38100" cy="175260"/>
                <wp:effectExtent l="0" t="0" r="0" b="0"/>
                <wp:wrapNone/>
                <wp:docPr id="241" name="Frame24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84">
                <wp:simplePos x="0" y="0"/>
                <wp:positionH relativeFrom="page">
                  <wp:posOffset>4732020</wp:posOffset>
                </wp:positionH>
                <wp:positionV relativeFrom="line">
                  <wp:posOffset>635</wp:posOffset>
                </wp:positionV>
                <wp:extent cx="2124075" cy="175260"/>
                <wp:effectExtent l="0" t="0" r="0" b="0"/>
                <wp:wrapNone/>
                <wp:docPr id="242" name="Frame245"/>
                <a:graphic xmlns:a="http://schemas.openxmlformats.org/drawingml/2006/main">
                  <a:graphicData uri="http://schemas.microsoft.com/office/word/2010/wordprocessingShape">
                    <wps:wsp>
                      <wps:cNvSpPr txBox="1"/>
                      <wps:spPr>
                        <a:xfrm>
                          <a:off x="0" y="0"/>
                          <a:ext cx="2124075"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 Capitalized terms used and not</w:t>
                            </w:r>
                          </w:p>
                        </w:txbxContent>
                      </wps:txbx>
                      <wps:bodyPr anchor="t" lIns="0" tIns="0" rIns="0" bIns="0">
                        <a:noAutofit/>
                      </wps:bodyPr>
                    </wps:wsp>
                  </a:graphicData>
                </a:graphic>
              </wp:anchor>
            </w:drawing>
          </mc:Choice>
          <mc:Fallback>
            <w:pict>
              <v:rect style="position:absolute;rotation:-0;width:167.25pt;height:13.8pt;mso-wrap-distance-left:0pt;mso-wrap-distance-right:0pt;mso-wrap-distance-top:0pt;mso-wrap-distance-bottom:0pt;margin-top:0pt;mso-position-vertical:top;mso-position-vertical-relative:text;margin-left:372.6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 Capitalized terms used and not</w:t>
                      </w:r>
                    </w:p>
                  </w:txbxContent>
                </v:textbox>
                <w10:wrap type="none"/>
              </v:rect>
            </w:pict>
          </mc:Fallback>
        </mc:AlternateContent>
      </w:r>
      <w:r>
        <mc:AlternateContent>
          <mc:Choice Requires="wps">
            <w:drawing>
              <wp:anchor behindDoc="0" distT="0" distB="0" distL="0" distR="0" simplePos="0" locked="0" layoutInCell="1" allowOverlap="1" relativeHeight="283">
                <wp:simplePos x="0" y="0"/>
                <wp:positionH relativeFrom="page">
                  <wp:posOffset>4300855</wp:posOffset>
                </wp:positionH>
                <wp:positionV relativeFrom="line">
                  <wp:posOffset>635</wp:posOffset>
                </wp:positionV>
                <wp:extent cx="431165" cy="350520"/>
                <wp:effectExtent l="0" t="0" r="0" b="0"/>
                <wp:wrapNone/>
                <wp:docPr id="243" name="Frame244"/>
                <a:graphic xmlns:a="http://schemas.openxmlformats.org/drawingml/2006/main">
                  <a:graphicData uri="http://schemas.microsoft.com/office/word/2010/wordprocessingShape">
                    <wps:wsp>
                      <wps:cNvSpPr txBox="1"/>
                      <wps:spPr>
                        <a:xfrm>
                          <a:off x="0" y="0"/>
                          <a:ext cx="43116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Lender</w:t>
                            </w:r>
                          </w:p>
                        </w:txbxContent>
                      </wps:txbx>
                      <wps:bodyPr anchor="t" lIns="0" tIns="0" rIns="0" bIns="0">
                        <a:noAutofit/>
                      </wps:bodyPr>
                    </wps:wsp>
                  </a:graphicData>
                </a:graphic>
              </wp:anchor>
            </w:drawing>
          </mc:Choice>
          <mc:Fallback>
            <w:pict>
              <v:rect style="position:absolute;rotation:-0;width:33.95pt;height:27.6pt;mso-wrap-distance-left:0pt;mso-wrap-distance-right:0pt;mso-wrap-distance-top:0pt;mso-wrap-distance-bottom:0pt;margin-top:0pt;mso-position-vertical:top;mso-position-vertical-relative:text;margin-left:338.6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Lender</w:t>
                      </w:r>
                    </w:p>
                  </w:txbxContent>
                </v:textbox>
                <w10:wrap type="none"/>
              </v:rect>
            </w:pict>
          </mc:Fallback>
        </mc:AlternateContent>
      </w:r>
      <w:r>
        <mc:AlternateContent>
          <mc:Choice Requires="wps">
            <w:drawing>
              <wp:anchor behindDoc="0" distT="0" distB="0" distL="0" distR="0" simplePos="0" locked="0" layoutInCell="1" allowOverlap="1" relativeHeight="282">
                <wp:simplePos x="0" y="0"/>
                <wp:positionH relativeFrom="page">
                  <wp:posOffset>1489075</wp:posOffset>
                </wp:positionH>
                <wp:positionV relativeFrom="line">
                  <wp:posOffset>635</wp:posOffset>
                </wp:positionV>
                <wp:extent cx="2811780" cy="175260"/>
                <wp:effectExtent l="0" t="0" r="0" b="0"/>
                <wp:wrapNone/>
                <wp:docPr id="244" name="Frame243"/>
                <a:graphic xmlns:a="http://schemas.openxmlformats.org/drawingml/2006/main">
                  <a:graphicData uri="http://schemas.microsoft.com/office/word/2010/wordprocessingShape">
                    <wps:wsp>
                      <wps:cNvSpPr txBox="1"/>
                      <wps:spPr>
                        <a:xfrm>
                          <a:off x="0" y="0"/>
                          <a:ext cx="281178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 and RIPPLE LABS INC., as lender (the “</w:t>
                            </w:r>
                          </w:p>
                        </w:txbxContent>
                      </wps:txbx>
                      <wps:bodyPr anchor="t" lIns="0" tIns="0" rIns="0" bIns="0">
                        <a:noAutofit/>
                      </wps:bodyPr>
                    </wps:wsp>
                  </a:graphicData>
                </a:graphic>
              </wp:anchor>
            </w:drawing>
          </mc:Choice>
          <mc:Fallback>
            <w:pict>
              <v:rect style="position:absolute;rotation:-0;width:221.4pt;height:13.8pt;mso-wrap-distance-left:0pt;mso-wrap-distance-right:0pt;mso-wrap-distance-top:0pt;mso-wrap-distance-bottom:0pt;margin-top:0pt;mso-position-vertical:top;mso-position-vertical-relative:text;margin-left:117.2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 and RIPPLE LABS INC., as lender (the “</w:t>
                      </w:r>
                    </w:p>
                  </w:txbxContent>
                </v:textbox>
                <w10:wrap type="none"/>
              </v:rect>
            </w:pict>
          </mc:Fallback>
        </mc:AlternateContent>
      </w:r>
      <w:r>
        <mc:AlternateContent>
          <mc:Choice Requires="wps">
            <w:drawing>
              <wp:anchor behindDoc="0" distT="0" distB="0" distL="0" distR="0" simplePos="0" locked="0" layoutInCell="1" allowOverlap="1" relativeHeight="281">
                <wp:simplePos x="0" y="0"/>
                <wp:positionH relativeFrom="page">
                  <wp:posOffset>981710</wp:posOffset>
                </wp:positionH>
                <wp:positionV relativeFrom="line">
                  <wp:posOffset>635</wp:posOffset>
                </wp:positionV>
                <wp:extent cx="507365" cy="350520"/>
                <wp:effectExtent l="0" t="0" r="0" b="0"/>
                <wp:wrapNone/>
                <wp:docPr id="245" name="Frame242"/>
                <a:graphic xmlns:a="http://schemas.openxmlformats.org/drawingml/2006/main">
                  <a:graphicData uri="http://schemas.microsoft.com/office/word/2010/wordprocessingShape">
                    <wps:wsp>
                      <wps:cNvSpPr txBox="1"/>
                      <wps:spPr>
                        <a:xfrm>
                          <a:off x="0" y="0"/>
                          <a:ext cx="50736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Servicer</w:t>
                            </w:r>
                          </w:p>
                        </w:txbxContent>
                      </wps:txbx>
                      <wps:bodyPr anchor="t" lIns="0" tIns="0" rIns="0" bIns="0">
                        <a:noAutofit/>
                      </wps:bodyPr>
                    </wps:wsp>
                  </a:graphicData>
                </a:graphic>
              </wp:anchor>
            </w:drawing>
          </mc:Choice>
          <mc:Fallback>
            <w:pict>
              <v:rect style="position:absolute;rotation:-0;width:39.95pt;height:27.6pt;mso-wrap-distance-left:0pt;mso-wrap-distance-right:0pt;mso-wrap-distance-top:0pt;mso-wrap-distance-bottom:0pt;margin-top:0pt;mso-position-vertical:top;mso-position-vertical-relative:text;margin-left:77.3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Servicer</w:t>
                      </w:r>
                    </w:p>
                  </w:txbxContent>
                </v:textbox>
                <w10:wrap type="none"/>
              </v:rect>
            </w:pict>
          </mc:Fallback>
        </mc:AlternateContent>
      </w:r>
      <w:r>
        <mc:AlternateContent>
          <mc:Choice Requires="wps">
            <w:drawing>
              <wp:anchor behindDoc="0" distT="0" distB="0" distL="0" distR="0" simplePos="0" locked="0" layoutInCell="1" allowOverlap="1" relativeHeight="280">
                <wp:simplePos x="0" y="0"/>
                <wp:positionH relativeFrom="page">
                  <wp:posOffset>914400</wp:posOffset>
                </wp:positionH>
                <wp:positionV relativeFrom="line">
                  <wp:posOffset>635</wp:posOffset>
                </wp:positionV>
                <wp:extent cx="67310" cy="175260"/>
                <wp:effectExtent l="0" t="0" r="0" b="0"/>
                <wp:wrapNone/>
                <wp:docPr id="246" name="Frame241"/>
                <a:graphic xmlns:a="http://schemas.openxmlformats.org/drawingml/2006/main">
                  <a:graphicData uri="http://schemas.microsoft.com/office/word/2010/wordprocessingShape">
                    <wps:wsp>
                      <wps:cNvSpPr txBox="1"/>
                      <wps:spPr>
                        <a:xfrm>
                          <a:off x="0" y="0"/>
                          <a:ext cx="6731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5.3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279">
                <wp:simplePos x="0" y="0"/>
                <wp:positionH relativeFrom="page">
                  <wp:posOffset>6856730</wp:posOffset>
                </wp:positionH>
                <wp:positionV relativeFrom="line">
                  <wp:posOffset>635</wp:posOffset>
                </wp:positionV>
                <wp:extent cx="38100" cy="175260"/>
                <wp:effectExtent l="0" t="0" r="0" b="0"/>
                <wp:wrapNone/>
                <wp:docPr id="247" name="Frame24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4">
                <wp:simplePos x="0" y="0"/>
                <wp:positionH relativeFrom="page">
                  <wp:posOffset>1371600</wp:posOffset>
                </wp:positionH>
                <wp:positionV relativeFrom="line">
                  <wp:posOffset>635</wp:posOffset>
                </wp:positionV>
                <wp:extent cx="4027805" cy="175260"/>
                <wp:effectExtent l="0" t="0" r="0" b="0"/>
                <wp:wrapNone/>
                <wp:docPr id="248" name="Frame225"/>
                <a:graphic xmlns:a="http://schemas.openxmlformats.org/drawingml/2006/main">
                  <a:graphicData uri="http://schemas.microsoft.com/office/word/2010/wordprocessingShape">
                    <wps:wsp>
                      <wps:cNvSpPr txBox="1"/>
                      <wps:spPr>
                        <a:xfrm>
                          <a:off x="0" y="0"/>
                          <a:ext cx="402780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This FIRST AMENDMENT TO CREDIT AGREEMENT (this “</w:t>
                            </w:r>
                          </w:p>
                        </w:txbxContent>
                      </wps:txbx>
                      <wps:bodyPr anchor="t" lIns="0" tIns="0" rIns="0" bIns="0">
                        <a:noAutofit/>
                      </wps:bodyPr>
                    </wps:wsp>
                  </a:graphicData>
                </a:graphic>
              </wp:anchor>
            </w:drawing>
          </mc:Choice>
          <mc:Fallback>
            <w:pict>
              <v:rect style="position:absolute;rotation:-0;width:317.1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This FIRST AMENDMENT TO CREDIT AGREEMENT (this “</w:t>
                      </w:r>
                    </w:p>
                  </w:txbxContent>
                </v:textbox>
                <w10:wrap type="none"/>
              </v:rect>
            </w:pict>
          </mc:Fallback>
        </mc:AlternateContent>
      </w:r>
      <w:r>
        <mc:AlternateContent>
          <mc:Choice Requires="wps">
            <w:drawing>
              <wp:anchor behindDoc="0" distT="0" distB="0" distL="0" distR="0" simplePos="0" locked="0" layoutInCell="1" allowOverlap="1" relativeHeight="277">
                <wp:simplePos x="0" y="0"/>
                <wp:positionH relativeFrom="page">
                  <wp:posOffset>6857365</wp:posOffset>
                </wp:positionH>
                <wp:positionV relativeFrom="line">
                  <wp:posOffset>635</wp:posOffset>
                </wp:positionV>
                <wp:extent cx="38100" cy="175260"/>
                <wp:effectExtent l="0" t="0" r="0" b="0"/>
                <wp:wrapNone/>
                <wp:docPr id="249" name="Frame23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76">
                <wp:simplePos x="0" y="0"/>
                <wp:positionH relativeFrom="page">
                  <wp:posOffset>4203065</wp:posOffset>
                </wp:positionH>
                <wp:positionV relativeFrom="line">
                  <wp:posOffset>635</wp:posOffset>
                </wp:positionV>
                <wp:extent cx="2654300" cy="175260"/>
                <wp:effectExtent l="0" t="0" r="0" b="0"/>
                <wp:wrapNone/>
                <wp:docPr id="250" name="Frame237"/>
                <a:graphic xmlns:a="http://schemas.openxmlformats.org/drawingml/2006/main">
                  <a:graphicData uri="http://schemas.microsoft.com/office/word/2010/wordprocessingShape">
                    <wps:wsp>
                      <wps:cNvSpPr txBox="1"/>
                      <wps:spPr>
                        <a:xfrm>
                          <a:off x="0" y="0"/>
                          <a:ext cx="265430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 a Delaware limited liability company</w:t>
                            </w:r>
                          </w:p>
                        </w:txbxContent>
                      </wps:txbx>
                      <wps:bodyPr anchor="t" lIns="0" tIns="0" rIns="0" bIns="0">
                        <a:noAutofit/>
                      </wps:bodyPr>
                    </wps:wsp>
                  </a:graphicData>
                </a:graphic>
              </wp:anchor>
            </w:drawing>
          </mc:Choice>
          <mc:Fallback>
            <w:pict>
              <v:rect style="position:absolute;rotation:-0;width:209pt;height:13.8pt;mso-wrap-distance-left:0pt;mso-wrap-distance-right:0pt;mso-wrap-distance-top:0pt;mso-wrap-distance-bottom:0pt;margin-top:0pt;mso-position-vertical:top;mso-position-vertical-relative:text;margin-left:330.9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 a Delaware limited liability company</w:t>
                      </w:r>
                    </w:p>
                  </w:txbxContent>
                </v:textbox>
                <w10:wrap type="none"/>
              </v:rect>
            </w:pict>
          </mc:Fallback>
        </mc:AlternateContent>
      </w:r>
      <w:r>
        <mc:AlternateContent>
          <mc:Choice Requires="wps">
            <w:drawing>
              <wp:anchor behindDoc="0" distT="0" distB="0" distL="0" distR="0" simplePos="0" locked="0" layoutInCell="1" allowOverlap="1" relativeHeight="275">
                <wp:simplePos x="0" y="0"/>
                <wp:positionH relativeFrom="page">
                  <wp:posOffset>3390900</wp:posOffset>
                </wp:positionH>
                <wp:positionV relativeFrom="line">
                  <wp:posOffset>635</wp:posOffset>
                </wp:positionV>
                <wp:extent cx="812165" cy="350520"/>
                <wp:effectExtent l="0" t="0" r="0" b="0"/>
                <wp:wrapNone/>
                <wp:docPr id="251" name="Frame236"/>
                <a:graphic xmlns:a="http://schemas.openxmlformats.org/drawingml/2006/main">
                  <a:graphicData uri="http://schemas.microsoft.com/office/word/2010/wordprocessingShape">
                    <wps:wsp>
                      <wps:cNvSpPr txBox="1"/>
                      <wps:spPr>
                        <a:xfrm>
                          <a:off x="0" y="0"/>
                          <a:ext cx="81216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Constellation</w:t>
                            </w:r>
                          </w:p>
                        </w:txbxContent>
                      </wps:txbx>
                      <wps:bodyPr anchor="t" lIns="0" tIns="0" rIns="0" bIns="0">
                        <a:noAutofit/>
                      </wps:bodyPr>
                    </wps:wsp>
                  </a:graphicData>
                </a:graphic>
              </wp:anchor>
            </w:drawing>
          </mc:Choice>
          <mc:Fallback>
            <w:pict>
              <v:rect style="position:absolute;rotation:-0;width:63.95pt;height:27.6pt;mso-wrap-distance-left:0pt;mso-wrap-distance-right:0pt;mso-wrap-distance-top:0pt;mso-wrap-distance-bottom:0pt;margin-top:0pt;mso-position-vertical:top;mso-position-vertical-relative:text;margin-left:267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Constellation</w:t>
                      </w:r>
                    </w:p>
                  </w:txbxContent>
                </v:textbox>
                <w10:wrap type="none"/>
              </v:rect>
            </w:pict>
          </mc:Fallback>
        </mc:AlternateContent>
      </w:r>
      <w:r>
        <mc:AlternateContent>
          <mc:Choice Requires="wps">
            <w:drawing>
              <wp:anchor behindDoc="0" distT="0" distB="0" distL="0" distR="0" simplePos="0" locked="0" layoutInCell="1" allowOverlap="1" relativeHeight="274">
                <wp:simplePos x="0" y="0"/>
                <wp:positionH relativeFrom="page">
                  <wp:posOffset>914400</wp:posOffset>
                </wp:positionH>
                <wp:positionV relativeFrom="line">
                  <wp:posOffset>635</wp:posOffset>
                </wp:positionV>
                <wp:extent cx="2476500" cy="175260"/>
                <wp:effectExtent l="0" t="0" r="0" b="0"/>
                <wp:wrapNone/>
                <wp:docPr id="252" name="Frame235"/>
                <a:graphic xmlns:a="http://schemas.openxmlformats.org/drawingml/2006/main">
                  <a:graphicData uri="http://schemas.microsoft.com/office/word/2010/wordprocessingShape">
                    <wps:wsp>
                      <wps:cNvSpPr txBox="1"/>
                      <wps:spPr>
                        <a:xfrm>
                          <a:off x="0" y="0"/>
                          <a:ext cx="24765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GEMINI CONSTELLATION, LLC (“</w:t>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GEMINI CONSTELLATION, LLC (“</w:t>
                      </w:r>
                    </w:p>
                  </w:txbxContent>
                </v:textbox>
                <w10:wrap type="none"/>
              </v:rect>
            </w:pict>
          </mc:Fallback>
        </mc:AlternateContent>
      </w:r>
      <w:r>
        <mc:AlternateContent>
          <mc:Choice Requires="wps">
            <w:drawing>
              <wp:anchor behindDoc="0" distT="0" distB="0" distL="0" distR="0" simplePos="0" locked="0" layoutInCell="1" allowOverlap="1" relativeHeight="273">
                <wp:simplePos x="0" y="0"/>
                <wp:positionH relativeFrom="page">
                  <wp:posOffset>6857365</wp:posOffset>
                </wp:positionH>
                <wp:positionV relativeFrom="line">
                  <wp:posOffset>635</wp:posOffset>
                </wp:positionV>
                <wp:extent cx="38100" cy="175260"/>
                <wp:effectExtent l="0" t="0" r="0" b="0"/>
                <wp:wrapNone/>
                <wp:docPr id="253" name="Frame23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72">
                <wp:simplePos x="0" y="0"/>
                <wp:positionH relativeFrom="page">
                  <wp:posOffset>914400</wp:posOffset>
                </wp:positionH>
                <wp:positionV relativeFrom="line">
                  <wp:posOffset>635</wp:posOffset>
                </wp:positionV>
                <wp:extent cx="5942965" cy="175260"/>
                <wp:effectExtent l="0" t="0" r="0" b="0"/>
                <wp:wrapNone/>
                <wp:docPr id="254" name="Frame233"/>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CAPRICORN ONE, LLC, a Delaware limited liability company, as borrower (the “Borrower”),</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CAPRICORN ONE, LLC, a Delaware limited liability company, as borrower (the “Borrower”),</w:t>
                      </w:r>
                    </w:p>
                  </w:txbxContent>
                </v:textbox>
                <w10:wrap type="none"/>
              </v:rect>
            </w:pict>
          </mc:Fallback>
        </mc:AlternateContent>
      </w:r>
      <w:r>
        <mc:AlternateContent>
          <mc:Choice Requires="wps">
            <w:drawing>
              <wp:anchor behindDoc="0" distT="0" distB="0" distL="0" distR="0" simplePos="0" locked="0" layoutInCell="1" allowOverlap="1" relativeHeight="271">
                <wp:simplePos x="0" y="0"/>
                <wp:positionH relativeFrom="page">
                  <wp:posOffset>6856730</wp:posOffset>
                </wp:positionH>
                <wp:positionV relativeFrom="line">
                  <wp:posOffset>635</wp:posOffset>
                </wp:positionV>
                <wp:extent cx="38100" cy="175260"/>
                <wp:effectExtent l="0" t="0" r="0" b="0"/>
                <wp:wrapNone/>
                <wp:docPr id="255" name="Frame23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70">
                <wp:simplePos x="0" y="0"/>
                <wp:positionH relativeFrom="page">
                  <wp:posOffset>4446270</wp:posOffset>
                </wp:positionH>
                <wp:positionV relativeFrom="line">
                  <wp:posOffset>635</wp:posOffset>
                </wp:positionV>
                <wp:extent cx="2410460" cy="175260"/>
                <wp:effectExtent l="0" t="0" r="0" b="0"/>
                <wp:wrapNone/>
                <wp:docPr id="256" name="Frame231"/>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 is made by and among GEMINI</w:t>
                            </w:r>
                          </w:p>
                        </w:txbxContent>
                      </wps:txbx>
                      <wps:bodyPr anchor="t" lIns="0" tIns="0" rIns="0" bIns="0">
                        <a:noAutofit/>
                      </wps:bodyPr>
                    </wps:wsp>
                  </a:graphicData>
                </a:graphic>
              </wp:anchor>
            </w:drawing>
          </mc:Choice>
          <mc:Fallback>
            <w:pict>
              <v:rect style="position:absolute;rotation:-0;width:189.8pt;height:13.8pt;mso-wrap-distance-left:0pt;mso-wrap-distance-right:0pt;mso-wrap-distance-top:0pt;mso-wrap-distance-bottom:0pt;margin-top:0pt;mso-position-vertical:top;mso-position-vertical-relative:text;margin-left:350.1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 is made by and among GEMINI</w:t>
                      </w:r>
                    </w:p>
                  </w:txbxContent>
                </v:textbox>
                <w10:wrap type="none"/>
              </v:rect>
            </w:pict>
          </mc:Fallback>
        </mc:AlternateContent>
      </w:r>
      <w:r>
        <mc:AlternateContent>
          <mc:Choice Requires="wps">
            <w:drawing>
              <wp:anchor behindDoc="0" distT="0" distB="0" distL="0" distR="0" simplePos="0" locked="0" layoutInCell="1" allowOverlap="1" relativeHeight="269">
                <wp:simplePos x="0" y="0"/>
                <wp:positionH relativeFrom="page">
                  <wp:posOffset>2686050</wp:posOffset>
                </wp:positionH>
                <wp:positionV relativeFrom="line">
                  <wp:posOffset>635</wp:posOffset>
                </wp:positionV>
                <wp:extent cx="1760220" cy="175260"/>
                <wp:effectExtent l="0" t="0" r="0" b="0"/>
                <wp:wrapNone/>
                <wp:docPr id="257" name="Frame230"/>
                <a:graphic xmlns:a="http://schemas.openxmlformats.org/drawingml/2006/main">
                  <a:graphicData uri="http://schemas.microsoft.com/office/word/2010/wordprocessingShape">
                    <wps:wsp>
                      <wps:cNvSpPr txBox="1"/>
                      <wps:spPr>
                        <a:xfrm>
                          <a:off x="0" y="0"/>
                          <a:ext cx="176022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Amendment Effective Date</w:t>
                            </w:r>
                          </w:p>
                        </w:txbxContent>
                      </wps:txbx>
                      <wps:bodyPr anchor="t" lIns="0" tIns="0" rIns="0" bIns="0">
                        <a:noAutofit/>
                      </wps:bodyPr>
                    </wps:wsp>
                  </a:graphicData>
                </a:graphic>
              </wp:anchor>
            </w:drawing>
          </mc:Choice>
          <mc:Fallback>
            <w:pict>
              <v:rect style="position:absolute;rotation:-0;width:138.6pt;height:13.8pt;mso-wrap-distance-left:0pt;mso-wrap-distance-right:0pt;mso-wrap-distance-top:0pt;mso-wrap-distance-bottom:0pt;margin-top:0pt;mso-position-vertical:top;mso-position-vertical-relative:text;margin-left:211.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Amendment Effective Date</w:t>
                      </w:r>
                    </w:p>
                  </w:txbxContent>
                </v:textbox>
                <w10:wrap type="none"/>
              </v:rect>
            </w:pict>
          </mc:Fallback>
        </mc:AlternateContent>
      </w:r>
      <w:r>
        <mc:AlternateContent>
          <mc:Choice Requires="wps">
            <w:drawing>
              <wp:anchor behindDoc="0" distT="0" distB="0" distL="0" distR="0" simplePos="0" locked="0" layoutInCell="1" allowOverlap="1" relativeHeight="268">
                <wp:simplePos x="0" y="0"/>
                <wp:positionH relativeFrom="page">
                  <wp:posOffset>914400</wp:posOffset>
                </wp:positionH>
                <wp:positionV relativeFrom="line">
                  <wp:posOffset>635</wp:posOffset>
                </wp:positionV>
                <wp:extent cx="1771650" cy="175260"/>
                <wp:effectExtent l="0" t="0" r="0" b="0"/>
                <wp:wrapNone/>
                <wp:docPr id="258" name="Frame229"/>
                <a:graphic xmlns:a="http://schemas.openxmlformats.org/drawingml/2006/main">
                  <a:graphicData uri="http://schemas.microsoft.com/office/word/2010/wordprocessingShape">
                    <wps:wsp>
                      <wps:cNvSpPr txBox="1"/>
                      <wps:spPr>
                        <a:xfrm>
                          <a:off x="0" y="0"/>
                          <a:ext cx="177165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August 13, 2025 (the “</w:t>
                            </w:r>
                          </w:p>
                        </w:txbxContent>
                      </wps:txbx>
                      <wps:bodyPr anchor="t" lIns="0" tIns="0" rIns="0" bIns="0">
                        <a:noAutofit/>
                      </wps:bodyPr>
                    </wps:wsp>
                  </a:graphicData>
                </a:graphic>
              </wp:anchor>
            </w:drawing>
          </mc:Choice>
          <mc:Fallback>
            <w:pict>
              <v:rect style="position:absolute;rotation:-0;width:13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August 13, 2025 (the “</w:t>
                      </w:r>
                    </w:p>
                  </w:txbxContent>
                </v:textbox>
                <w10:wrap type="none"/>
              </v:rect>
            </w:pict>
          </mc:Fallback>
        </mc:AlternateContent>
      </w:r>
      <w:r>
        <mc:AlternateContent>
          <mc:Choice Requires="wps">
            <w:drawing>
              <wp:anchor behindDoc="0" distT="0" distB="0" distL="0" distR="0" simplePos="0" locked="0" layoutInCell="1" allowOverlap="1" relativeHeight="267">
                <wp:simplePos x="0" y="0"/>
                <wp:positionH relativeFrom="page">
                  <wp:posOffset>6857365</wp:posOffset>
                </wp:positionH>
                <wp:positionV relativeFrom="line">
                  <wp:posOffset>635</wp:posOffset>
                </wp:positionV>
                <wp:extent cx="38100" cy="175260"/>
                <wp:effectExtent l="0" t="0" r="0" b="0"/>
                <wp:wrapNone/>
                <wp:docPr id="259" name="Frame22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6">
                <wp:simplePos x="0" y="0"/>
                <wp:positionH relativeFrom="page">
                  <wp:posOffset>6152515</wp:posOffset>
                </wp:positionH>
                <wp:positionV relativeFrom="line">
                  <wp:posOffset>635</wp:posOffset>
                </wp:positionV>
                <wp:extent cx="704850" cy="175260"/>
                <wp:effectExtent l="0" t="0" r="0" b="0"/>
                <wp:wrapNone/>
                <wp:docPr id="260" name="Frame227"/>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 dated as</w:t>
                            </w:r>
                          </w:p>
                        </w:txbxContent>
                      </wps:txbx>
                      <wps:bodyPr anchor="t" lIns="0" tIns="0" rIns="0" bIns="0">
                        <a:noAutofit/>
                      </wps:bodyPr>
                    </wps:wsp>
                  </a:graphicData>
                </a:graphic>
              </wp:anchor>
            </w:drawing>
          </mc:Choice>
          <mc:Fallback>
            <w:pict>
              <v:rect style="position:absolute;rotation:-0;width:55.5pt;height:13.8pt;mso-wrap-distance-left:0pt;mso-wrap-distance-right:0pt;mso-wrap-distance-top:0pt;mso-wrap-distance-bottom:0pt;margin-top:0pt;mso-position-vertical:top;mso-position-vertical-relative:text;margin-left:484.4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 dated as</w:t>
                      </w:r>
                    </w:p>
                  </w:txbxContent>
                </v:textbox>
                <w10:wrap type="none"/>
              </v:rect>
            </w:pict>
          </mc:Fallback>
        </mc:AlternateContent>
      </w:r>
      <w:r>
        <mc:AlternateContent>
          <mc:Choice Requires="wps">
            <w:drawing>
              <wp:anchor behindDoc="0" distT="0" distB="0" distL="0" distR="0" simplePos="0" locked="0" layoutInCell="1" allowOverlap="1" relativeHeight="265">
                <wp:simplePos x="0" y="0"/>
                <wp:positionH relativeFrom="page">
                  <wp:posOffset>5399405</wp:posOffset>
                </wp:positionH>
                <wp:positionV relativeFrom="line">
                  <wp:posOffset>635</wp:posOffset>
                </wp:positionV>
                <wp:extent cx="753110" cy="350520"/>
                <wp:effectExtent l="0" t="0" r="0" b="0"/>
                <wp:wrapNone/>
                <wp:docPr id="261" name="Frame226"/>
                <a:graphic xmlns:a="http://schemas.openxmlformats.org/drawingml/2006/main">
                  <a:graphicData uri="http://schemas.microsoft.com/office/word/2010/wordprocessingShape">
                    <wps:wsp>
                      <wps:cNvSpPr txBox="1"/>
                      <wps:spPr>
                        <a:xfrm>
                          <a:off x="0" y="0"/>
                          <a:ext cx="75311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Amendment</w:t>
                            </w:r>
                          </w:p>
                        </w:txbxContent>
                      </wps:txbx>
                      <wps:bodyPr anchor="t" lIns="0" tIns="0" rIns="0" bIns="0">
                        <a:noAutofit/>
                      </wps:bodyPr>
                    </wps:wsp>
                  </a:graphicData>
                </a:graphic>
              </wp:anchor>
            </w:drawing>
          </mc:Choice>
          <mc:Fallback>
            <w:pict>
              <v:rect style="position:absolute;rotation:-0;width:59.3pt;height:27.6pt;mso-wrap-distance-left:0pt;mso-wrap-distance-right:0pt;mso-wrap-distance-top:0pt;mso-wrap-distance-bottom:0pt;margin-top:0pt;mso-position-vertical:top;mso-position-vertical-relative:text;margin-left:425.1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Amendment</w:t>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[Signature Page to Follow]</w:t>
      </w:r>
      <w:r>
        <mc:AlternateContent>
          <mc:Choice Requires="wps">
            <w:drawing>
              <wp:anchor behindDoc="0" distT="0" distB="0" distL="0" distR="0" simplePos="0" locked="0" layoutInCell="1" allowOverlap="1" relativeHeight="398">
                <wp:simplePos x="0" y="0"/>
                <wp:positionH relativeFrom="page">
                  <wp:posOffset>2286000</wp:posOffset>
                </wp:positionH>
                <wp:positionV relativeFrom="line">
                  <wp:posOffset>635</wp:posOffset>
                </wp:positionV>
                <wp:extent cx="4572000" cy="175260"/>
                <wp:effectExtent l="0" t="0" r="0" b="0"/>
                <wp:wrapNone/>
                <wp:docPr id="262" name="Frame359"/>
                <a:graphic xmlns:a="http://schemas.openxmlformats.org/drawingml/2006/main">
                  <a:graphicData uri="http://schemas.microsoft.com/office/word/2010/wordprocessingShape">
                    <wps:wsp>
                      <wps:cNvSpPr txBox="1"/>
                      <wps:spPr>
                        <a:xfrm>
                          <a:off x="0" y="0"/>
                          <a:ext cx="45720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signatures law, including any relevant provisions of the Uniform</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signatures law, including any relevant provisions of the Uniform</w:t>
                      </w:r>
                    </w:p>
                  </w:txbxContent>
                </v:textbox>
                <w10:wrap type="none"/>
              </v:rect>
            </w:pict>
          </mc:Fallback>
        </mc:AlternateContent>
      </w:r>
      <w:r>
        <mc:AlternateContent>
          <mc:Choice Requires="wps">
            <w:drawing>
              <wp:anchor behindDoc="0" distT="0" distB="0" distL="0" distR="0" simplePos="0" locked="0" layoutInCell="1" allowOverlap="1" relativeHeight="389">
                <wp:simplePos x="0" y="0"/>
                <wp:positionH relativeFrom="page">
                  <wp:posOffset>6857365</wp:posOffset>
                </wp:positionH>
                <wp:positionV relativeFrom="line">
                  <wp:posOffset>635</wp:posOffset>
                </wp:positionV>
                <wp:extent cx="38100" cy="175260"/>
                <wp:effectExtent l="0" t="0" r="0" b="0"/>
                <wp:wrapNone/>
                <wp:docPr id="263" name="Frame35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90">
                <wp:simplePos x="0" y="0"/>
                <wp:positionH relativeFrom="page">
                  <wp:posOffset>2286000</wp:posOffset>
                </wp:positionH>
                <wp:positionV relativeFrom="line">
                  <wp:posOffset>635</wp:posOffset>
                </wp:positionV>
                <wp:extent cx="4572000" cy="175260"/>
                <wp:effectExtent l="0" t="0" r="0" b="0"/>
                <wp:wrapNone/>
                <wp:docPr id="264" name="Frame351"/>
                <a:graphic xmlns:a="http://schemas.openxmlformats.org/drawingml/2006/main">
                  <a:graphicData uri="http://schemas.microsoft.com/office/word/2010/wordprocessingShape">
                    <wps:wsp>
                      <wps:cNvSpPr txBox="1"/>
                      <wps:spPr>
                        <a:xfrm>
                          <a:off x="0" y="0"/>
                          <a:ext cx="45720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faxed, scanned, or photocopied manual signature or (iii) any other</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faxed, scanned, or photocopied manual signature or (iii) any other</w:t>
                      </w:r>
                    </w:p>
                  </w:txbxContent>
                </v:textbox>
                <w10:wrap type="none"/>
              </v:rect>
            </w:pict>
          </mc:Fallback>
        </mc:AlternateContent>
      </w:r>
      <w:r>
        <mc:AlternateContent>
          <mc:Choice Requires="wps">
            <w:drawing>
              <wp:anchor behindDoc="0" distT="0" distB="0" distL="0" distR="0" simplePos="0" locked="0" layoutInCell="1" allowOverlap="1" relativeHeight="391">
                <wp:simplePos x="0" y="0"/>
                <wp:positionH relativeFrom="page">
                  <wp:posOffset>6858000</wp:posOffset>
                </wp:positionH>
                <wp:positionV relativeFrom="line">
                  <wp:posOffset>635</wp:posOffset>
                </wp:positionV>
                <wp:extent cx="38100" cy="175260"/>
                <wp:effectExtent l="0" t="0" r="0" b="0"/>
                <wp:wrapNone/>
                <wp:docPr id="265" name="Frame35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92">
                <wp:simplePos x="0" y="0"/>
                <wp:positionH relativeFrom="page">
                  <wp:posOffset>2286000</wp:posOffset>
                </wp:positionH>
                <wp:positionV relativeFrom="line">
                  <wp:posOffset>635</wp:posOffset>
                </wp:positionV>
                <wp:extent cx="4572000" cy="175260"/>
                <wp:effectExtent l="0" t="0" r="0" b="0"/>
                <wp:wrapNone/>
                <wp:docPr id="266" name="Frame353"/>
                <a:graphic xmlns:a="http://schemas.openxmlformats.org/drawingml/2006/main">
                  <a:graphicData uri="http://schemas.microsoft.com/office/word/2010/wordprocessingShape">
                    <wps:wsp>
                      <wps:cNvSpPr txBox="1"/>
                      <wps:spPr>
                        <a:xfrm>
                          <a:off x="0" y="0"/>
                          <a:ext cx="45720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electronic signature permitted by the federal Electronic Signatures in</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electronic signature permitted by the federal Electronic Signatures in</w:t>
                      </w:r>
                    </w:p>
                  </w:txbxContent>
                </v:textbox>
                <w10:wrap type="none"/>
              </v:rect>
            </w:pict>
          </mc:Fallback>
        </mc:AlternateContent>
      </w:r>
      <w:r>
        <mc:AlternateContent>
          <mc:Choice Requires="wps">
            <w:drawing>
              <wp:anchor behindDoc="0" distT="0" distB="0" distL="0" distR="0" simplePos="0" locked="0" layoutInCell="1" allowOverlap="1" relativeHeight="393">
                <wp:simplePos x="0" y="0"/>
                <wp:positionH relativeFrom="page">
                  <wp:posOffset>6858000</wp:posOffset>
                </wp:positionH>
                <wp:positionV relativeFrom="line">
                  <wp:posOffset>635</wp:posOffset>
                </wp:positionV>
                <wp:extent cx="38100" cy="175260"/>
                <wp:effectExtent l="0" t="0" r="0" b="0"/>
                <wp:wrapNone/>
                <wp:docPr id="267" name="Frame35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94">
                <wp:simplePos x="0" y="0"/>
                <wp:positionH relativeFrom="page">
                  <wp:posOffset>2286000</wp:posOffset>
                </wp:positionH>
                <wp:positionV relativeFrom="line">
                  <wp:posOffset>635</wp:posOffset>
                </wp:positionV>
                <wp:extent cx="4572000" cy="175260"/>
                <wp:effectExtent l="0" t="0" r="0" b="0"/>
                <wp:wrapNone/>
                <wp:docPr id="268" name="Frame355"/>
                <a:graphic xmlns:a="http://schemas.openxmlformats.org/drawingml/2006/main">
                  <a:graphicData uri="http://schemas.microsoft.com/office/word/2010/wordprocessingShape">
                    <wps:wsp>
                      <wps:cNvSpPr txBox="1"/>
                      <wps:spPr>
                        <a:xfrm>
                          <a:off x="0" y="0"/>
                          <a:ext cx="45720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Global and National Commerce Act, state enactments of the Uniform</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Global and National Commerce Act, state enactments of the Uniform</w:t>
                      </w:r>
                    </w:p>
                  </w:txbxContent>
                </v:textbox>
                <w10:wrap type="none"/>
              </v:rect>
            </w:pict>
          </mc:Fallback>
        </mc:AlternateContent>
      </w:r>
      <w:r>
        <mc:AlternateContent>
          <mc:Choice Requires="wps">
            <w:drawing>
              <wp:anchor behindDoc="0" distT="0" distB="0" distL="0" distR="0" simplePos="0" locked="0" layoutInCell="1" allowOverlap="1" relativeHeight="395">
                <wp:simplePos x="0" y="0"/>
                <wp:positionH relativeFrom="page">
                  <wp:posOffset>6858000</wp:posOffset>
                </wp:positionH>
                <wp:positionV relativeFrom="line">
                  <wp:posOffset>635</wp:posOffset>
                </wp:positionV>
                <wp:extent cx="38100" cy="175260"/>
                <wp:effectExtent l="0" t="0" r="0" b="0"/>
                <wp:wrapNone/>
                <wp:docPr id="269" name="Frame35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96">
                <wp:simplePos x="0" y="0"/>
                <wp:positionH relativeFrom="page">
                  <wp:posOffset>2286000</wp:posOffset>
                </wp:positionH>
                <wp:positionV relativeFrom="line">
                  <wp:posOffset>635</wp:posOffset>
                </wp:positionV>
                <wp:extent cx="4571365" cy="175260"/>
                <wp:effectExtent l="0" t="0" r="0" b="0"/>
                <wp:wrapNone/>
                <wp:docPr id="270" name="Frame357"/>
                <a:graphic xmlns:a="http://schemas.openxmlformats.org/drawingml/2006/main">
                  <a:graphicData uri="http://schemas.microsoft.com/office/word/2010/wordprocessingShape">
                    <wps:wsp>
                      <wps:cNvSpPr txBox="1"/>
                      <wps:spPr>
                        <a:xfrm>
                          <a:off x="0" y="0"/>
                          <a:ext cx="45713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Electronic Transactions Act, and/or any other relevant electronic</w:t>
                            </w:r>
                          </w:p>
                        </w:txbxContent>
                      </wps:txbx>
                      <wps:bodyPr anchor="t" lIns="0" tIns="0" rIns="0" bIns="0">
                        <a:noAutofit/>
                      </wps:bodyPr>
                    </wps:wsp>
                  </a:graphicData>
                </a:graphic>
              </wp:anchor>
            </w:drawing>
          </mc:Choice>
          <mc:Fallback>
            <w:pict>
              <v:rect style="position:absolute;rotation:-0;width:359.95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Electronic Transactions Act, and/or any other relevant electronic</w:t>
                      </w:r>
                    </w:p>
                  </w:txbxContent>
                </v:textbox>
                <w10:wrap type="none"/>
              </v:rect>
            </w:pict>
          </mc:Fallback>
        </mc:AlternateContent>
      </w:r>
      <w:r>
        <mc:AlternateContent>
          <mc:Choice Requires="wps">
            <w:drawing>
              <wp:anchor behindDoc="0" distT="0" distB="0" distL="0" distR="0" simplePos="0" locked="0" layoutInCell="1" allowOverlap="1" relativeHeight="397">
                <wp:simplePos x="0" y="0"/>
                <wp:positionH relativeFrom="page">
                  <wp:posOffset>6857365</wp:posOffset>
                </wp:positionH>
                <wp:positionV relativeFrom="line">
                  <wp:posOffset>635</wp:posOffset>
                </wp:positionV>
                <wp:extent cx="38100" cy="175260"/>
                <wp:effectExtent l="0" t="0" r="0" b="0"/>
                <wp:wrapNone/>
                <wp:docPr id="271" name="Frame35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88">
                <wp:simplePos x="0" y="0"/>
                <wp:positionH relativeFrom="page">
                  <wp:posOffset>2286000</wp:posOffset>
                </wp:positionH>
                <wp:positionV relativeFrom="line">
                  <wp:posOffset>635</wp:posOffset>
                </wp:positionV>
                <wp:extent cx="4571365" cy="175260"/>
                <wp:effectExtent l="0" t="0" r="0" b="0"/>
                <wp:wrapNone/>
                <wp:docPr id="272" name="Frame349"/>
                <a:graphic xmlns:a="http://schemas.openxmlformats.org/drawingml/2006/main">
                  <a:graphicData uri="http://schemas.microsoft.com/office/word/2010/wordprocessingShape">
                    <wps:wsp>
                      <wps:cNvSpPr txBox="1"/>
                      <wps:spPr>
                        <a:xfrm>
                          <a:off x="0" y="0"/>
                          <a:ext cx="45713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on behalf of the party by means of (i) an original manual signature; (ii) a</w:t>
                            </w:r>
                          </w:p>
                        </w:txbxContent>
                      </wps:txbx>
                      <wps:bodyPr anchor="t" lIns="0" tIns="0" rIns="0" bIns="0">
                        <a:noAutofit/>
                      </wps:bodyPr>
                    </wps:wsp>
                  </a:graphicData>
                </a:graphic>
              </wp:anchor>
            </w:drawing>
          </mc:Choice>
          <mc:Fallback>
            <w:pict>
              <v:rect style="position:absolute;rotation:-0;width:359.95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on behalf of the party by means of (i) an original manual signature; (ii) a</w:t>
                      </w:r>
                    </w:p>
                  </w:txbxContent>
                </v:textbox>
                <w10:wrap type="none"/>
              </v:rect>
            </w:pict>
          </mc:Fallback>
        </mc:AlternateContent>
      </w:r>
      <w:r>
        <mc:AlternateContent>
          <mc:Choice Requires="wps">
            <w:drawing>
              <wp:anchor behindDoc="0" distT="0" distB="0" distL="0" distR="0" simplePos="0" locked="0" layoutInCell="1" allowOverlap="1" relativeHeight="399">
                <wp:simplePos x="0" y="0"/>
                <wp:positionH relativeFrom="page">
                  <wp:posOffset>6858000</wp:posOffset>
                </wp:positionH>
                <wp:positionV relativeFrom="line">
                  <wp:posOffset>635</wp:posOffset>
                </wp:positionV>
                <wp:extent cx="38100" cy="175260"/>
                <wp:effectExtent l="0" t="0" r="0" b="0"/>
                <wp:wrapNone/>
                <wp:docPr id="273" name="Frame36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0">
                <wp:simplePos x="0" y="0"/>
                <wp:positionH relativeFrom="page">
                  <wp:posOffset>2286000</wp:posOffset>
                </wp:positionH>
                <wp:positionV relativeFrom="line">
                  <wp:posOffset>635</wp:posOffset>
                </wp:positionV>
                <wp:extent cx="2159635" cy="175260"/>
                <wp:effectExtent l="0" t="0" r="0" b="0"/>
                <wp:wrapNone/>
                <wp:docPr id="274" name="Frame361"/>
                <a:graphic xmlns:a="http://schemas.openxmlformats.org/drawingml/2006/main">
                  <a:graphicData uri="http://schemas.microsoft.com/office/word/2010/wordprocessingShape">
                    <wps:wsp>
                      <wps:cNvSpPr txBox="1"/>
                      <wps:spPr>
                        <a:xfrm>
                          <a:off x="0" y="0"/>
                          <a:ext cx="215963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Commercial Code (collectively, “</w:t>
                            </w:r>
                          </w:p>
                        </w:txbxContent>
                      </wps:txbx>
                      <wps:bodyPr anchor="t" lIns="0" tIns="0" rIns="0" bIns="0">
                        <a:noAutofit/>
                      </wps:bodyPr>
                    </wps:wsp>
                  </a:graphicData>
                </a:graphic>
              </wp:anchor>
            </w:drawing>
          </mc:Choice>
          <mc:Fallback>
            <w:pict>
              <v:rect style="position:absolute;rotation:-0;width:170.05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Commercial Code (collectively, “</w:t>
                      </w:r>
                    </w:p>
                  </w:txbxContent>
                </v:textbox>
                <w10:wrap type="none"/>
              </v:rect>
            </w:pict>
          </mc:Fallback>
        </mc:AlternateContent>
      </w:r>
      <w:r>
        <mc:AlternateContent>
          <mc:Choice Requires="wps">
            <w:drawing>
              <wp:anchor behindDoc="0" distT="0" distB="0" distL="0" distR="0" simplePos="0" locked="0" layoutInCell="1" allowOverlap="1" relativeHeight="401">
                <wp:simplePos x="0" y="0"/>
                <wp:positionH relativeFrom="page">
                  <wp:posOffset>4445635</wp:posOffset>
                </wp:positionH>
                <wp:positionV relativeFrom="line">
                  <wp:posOffset>635</wp:posOffset>
                </wp:positionV>
                <wp:extent cx="927100" cy="175260"/>
                <wp:effectExtent l="0" t="0" r="0" b="0"/>
                <wp:wrapNone/>
                <wp:docPr id="275" name="Frame362"/>
                <a:graphic xmlns:a="http://schemas.openxmlformats.org/drawingml/2006/main">
                  <a:graphicData uri="http://schemas.microsoft.com/office/word/2010/wordprocessingShape">
                    <wps:wsp>
                      <wps:cNvSpPr txBox="1"/>
                      <wps:spPr>
                        <a:xfrm>
                          <a:off x="0" y="0"/>
                          <a:ext cx="9271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Signature Law</w:t>
                            </w:r>
                          </w:p>
                        </w:txbxContent>
                      </wps:txbx>
                      <wps:bodyPr anchor="t" lIns="0" tIns="0" rIns="0" bIns="0">
                        <a:noAutofit/>
                      </wps:bodyPr>
                    </wps:wsp>
                  </a:graphicData>
                </a:graphic>
              </wp:anchor>
            </w:drawing>
          </mc:Choice>
          <mc:Fallback>
            <w:pict>
              <v:rect style="position:absolute;rotation:-0;width:73pt;height:13.8pt;mso-wrap-distance-left:0pt;mso-wrap-distance-right:0pt;mso-wrap-distance-top:0pt;mso-wrap-distance-bottom:0pt;margin-top:0pt;mso-position-vertical:top;mso-position-vertical-relative:text;margin-left:350.05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Signature Law</w:t>
                      </w:r>
                    </w:p>
                  </w:txbxContent>
                </v:textbox>
                <w10:wrap type="none"/>
              </v:rect>
            </w:pict>
          </mc:Fallback>
        </mc:AlternateContent>
      </w:r>
      <w:r>
        <mc:AlternateContent>
          <mc:Choice Requires="wps">
            <w:drawing>
              <wp:anchor behindDoc="0" distT="0" distB="0" distL="0" distR="0" simplePos="0" locked="0" layoutInCell="1" allowOverlap="1" relativeHeight="402">
                <wp:simplePos x="0" y="0"/>
                <wp:positionH relativeFrom="page">
                  <wp:posOffset>5372735</wp:posOffset>
                </wp:positionH>
                <wp:positionV relativeFrom="line">
                  <wp:posOffset>635</wp:posOffset>
                </wp:positionV>
                <wp:extent cx="1484630" cy="175260"/>
                <wp:effectExtent l="0" t="0" r="0" b="0"/>
                <wp:wrapNone/>
                <wp:docPr id="276" name="Frame363"/>
                <a:graphic xmlns:a="http://schemas.openxmlformats.org/drawingml/2006/main">
                  <a:graphicData uri="http://schemas.microsoft.com/office/word/2010/wordprocessingShape">
                    <wps:wsp>
                      <wps:cNvSpPr txBox="1"/>
                      <wps:spPr>
                        <a:xfrm>
                          <a:off x="0" y="0"/>
                          <a:ext cx="148463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 in each case to the</w:t>
                            </w:r>
                          </w:p>
                        </w:txbxContent>
                      </wps:txbx>
                      <wps:bodyPr anchor="t" lIns="0" tIns="0" rIns="0" bIns="0">
                        <a:noAutofit/>
                      </wps:bodyPr>
                    </wps:wsp>
                  </a:graphicData>
                </a:graphic>
              </wp:anchor>
            </w:drawing>
          </mc:Choice>
          <mc:Fallback>
            <w:pict>
              <v:rect style="position:absolute;rotation:-0;width:116.9pt;height:13.8pt;mso-wrap-distance-left:0pt;mso-wrap-distance-right:0pt;mso-wrap-distance-top:0pt;mso-wrap-distance-bottom:0pt;margin-top:0pt;mso-position-vertical:top;mso-position-vertical-relative:text;margin-left:423.0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4"/>
                          <w:u w:val="none"/>
                          <w:effect w:val="none"/>
                        </w:rPr>
                        <w:t>), in each case to the</w:t>
                      </w:r>
                    </w:p>
                  </w:txbxContent>
                </v:textbox>
                <w10:wrap type="none"/>
              </v:rect>
            </w:pict>
          </mc:Fallback>
        </mc:AlternateContent>
      </w:r>
      <w:r>
        <mc:AlternateContent>
          <mc:Choice Requires="wps">
            <w:drawing>
              <wp:anchor behindDoc="0" distT="0" distB="0" distL="0" distR="0" simplePos="0" locked="0" layoutInCell="1" allowOverlap="1" relativeHeight="403">
                <wp:simplePos x="0" y="0"/>
                <wp:positionH relativeFrom="page">
                  <wp:posOffset>6857365</wp:posOffset>
                </wp:positionH>
                <wp:positionV relativeFrom="line">
                  <wp:posOffset>635</wp:posOffset>
                </wp:positionV>
                <wp:extent cx="38100" cy="175260"/>
                <wp:effectExtent l="0" t="0" r="0" b="0"/>
                <wp:wrapNone/>
                <wp:docPr id="277" name="Frame36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4">
                <wp:simplePos x="0" y="0"/>
                <wp:positionH relativeFrom="page">
                  <wp:posOffset>2286000</wp:posOffset>
                </wp:positionH>
                <wp:positionV relativeFrom="line">
                  <wp:posOffset>635</wp:posOffset>
                </wp:positionV>
                <wp:extent cx="4571365" cy="175260"/>
                <wp:effectExtent l="0" t="0" r="0" b="0"/>
                <wp:wrapNone/>
                <wp:docPr id="278" name="Frame365"/>
                <a:graphic xmlns:a="http://schemas.openxmlformats.org/drawingml/2006/main">
                  <a:graphicData uri="http://schemas.microsoft.com/office/word/2010/wordprocessingShape">
                    <wps:wsp>
                      <wps:cNvSpPr txBox="1"/>
                      <wps:spPr>
                        <a:xfrm>
                          <a:off x="0" y="0"/>
                          <a:ext cx="45713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extent applicable. Each faxed, scanned, or photocopied manual signature,</w:t>
                            </w:r>
                          </w:p>
                        </w:txbxContent>
                      </wps:txbx>
                      <wps:bodyPr anchor="t" lIns="0" tIns="0" rIns="0" bIns="0">
                        <a:noAutofit/>
                      </wps:bodyPr>
                    </wps:wsp>
                  </a:graphicData>
                </a:graphic>
              </wp:anchor>
            </w:drawing>
          </mc:Choice>
          <mc:Fallback>
            <w:pict>
              <v:rect style="position:absolute;rotation:-0;width:359.95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extent applicable. Each faxed, scanned, or photocopied manual signature,</w:t>
                      </w:r>
                    </w:p>
                  </w:txbxContent>
                </v:textbox>
                <w10:wrap type="none"/>
              </v:rect>
            </w:pict>
          </mc:Fallback>
        </mc:AlternateContent>
      </w:r>
      <w:r>
        <mc:AlternateContent>
          <mc:Choice Requires="wps">
            <w:drawing>
              <wp:anchor behindDoc="0" distT="0" distB="0" distL="0" distR="0" simplePos="0" locked="0" layoutInCell="1" allowOverlap="1" relativeHeight="405">
                <wp:simplePos x="0" y="0"/>
                <wp:positionH relativeFrom="page">
                  <wp:posOffset>6857365</wp:posOffset>
                </wp:positionH>
                <wp:positionV relativeFrom="line">
                  <wp:posOffset>635</wp:posOffset>
                </wp:positionV>
                <wp:extent cx="38100" cy="175260"/>
                <wp:effectExtent l="0" t="0" r="0" b="0"/>
                <wp:wrapNone/>
                <wp:docPr id="279" name="Frame36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6">
                <wp:simplePos x="0" y="0"/>
                <wp:positionH relativeFrom="page">
                  <wp:posOffset>2286000</wp:posOffset>
                </wp:positionH>
                <wp:positionV relativeFrom="line">
                  <wp:posOffset>635</wp:posOffset>
                </wp:positionV>
                <wp:extent cx="4570730" cy="175260"/>
                <wp:effectExtent l="0" t="0" r="0" b="0"/>
                <wp:wrapNone/>
                <wp:docPr id="280" name="Frame367"/>
                <a:graphic xmlns:a="http://schemas.openxmlformats.org/drawingml/2006/main">
                  <a:graphicData uri="http://schemas.microsoft.com/office/word/2010/wordprocessingShape">
                    <wps:wsp>
                      <wps:cNvSpPr txBox="1"/>
                      <wps:spPr>
                        <a:xfrm>
                          <a:off x="0" y="0"/>
                          <a:ext cx="45707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or other electronic signature, shall for all purposes have the same validity,</w:t>
                            </w:r>
                          </w:p>
                        </w:txbxContent>
                      </wps:txbx>
                      <wps:bodyPr anchor="t" lIns="0" tIns="0" rIns="0" bIns="0">
                        <a:noAutofit/>
                      </wps:bodyPr>
                    </wps:wsp>
                  </a:graphicData>
                </a:graphic>
              </wp:anchor>
            </w:drawing>
          </mc:Choice>
          <mc:Fallback>
            <w:pict>
              <v:rect style="position:absolute;rotation:-0;width:359.9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or other electronic signature, shall for all purposes have the same validity,</w:t>
                      </w:r>
                    </w:p>
                  </w:txbxContent>
                </v:textbox>
                <w10:wrap type="none"/>
              </v:rect>
            </w:pict>
          </mc:Fallback>
        </mc:AlternateContent>
      </w:r>
      <w:r>
        <mc:AlternateContent>
          <mc:Choice Requires="wps">
            <w:drawing>
              <wp:anchor behindDoc="0" distT="0" distB="0" distL="0" distR="0" simplePos="0" locked="0" layoutInCell="1" allowOverlap="1" relativeHeight="379">
                <wp:simplePos x="0" y="0"/>
                <wp:positionH relativeFrom="page">
                  <wp:posOffset>6856730</wp:posOffset>
                </wp:positionH>
                <wp:positionV relativeFrom="line">
                  <wp:posOffset>635</wp:posOffset>
                </wp:positionV>
                <wp:extent cx="38100" cy="175260"/>
                <wp:effectExtent l="0" t="0" r="0" b="0"/>
                <wp:wrapNone/>
                <wp:docPr id="281" name="Frame34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70">
                <wp:simplePos x="0" y="0"/>
                <wp:positionH relativeFrom="page">
                  <wp:posOffset>2286000</wp:posOffset>
                </wp:positionH>
                <wp:positionV relativeFrom="line">
                  <wp:posOffset>635</wp:posOffset>
                </wp:positionV>
                <wp:extent cx="4572000" cy="175260"/>
                <wp:effectExtent l="0" t="0" r="0" b="0"/>
                <wp:wrapNone/>
                <wp:docPr id="282" name="Frame331"/>
                <a:graphic xmlns:a="http://schemas.openxmlformats.org/drawingml/2006/main">
                  <a:graphicData uri="http://schemas.microsoft.com/office/word/2010/wordprocessingShape">
                    <wps:wsp>
                      <wps:cNvSpPr txBox="1"/>
                      <wps:spPr>
                        <a:xfrm>
                          <a:off x="0" y="0"/>
                          <a:ext cx="45720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to this Amendment. In the event of any inconsistency between this</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to this Amendment. In the event of any inconsistency between this</w:t>
                      </w:r>
                    </w:p>
                  </w:txbxContent>
                </v:textbox>
                <w10:wrap type="none"/>
              </v:rect>
            </w:pict>
          </mc:Fallback>
        </mc:AlternateContent>
      </w:r>
      <w:r>
        <mc:AlternateContent>
          <mc:Choice Requires="wps">
            <w:drawing>
              <wp:anchor behindDoc="0" distT="0" distB="0" distL="0" distR="0" simplePos="0" locked="0" layoutInCell="1" allowOverlap="1" relativeHeight="371">
                <wp:simplePos x="0" y="0"/>
                <wp:positionH relativeFrom="page">
                  <wp:posOffset>6858000</wp:posOffset>
                </wp:positionH>
                <wp:positionV relativeFrom="line">
                  <wp:posOffset>635</wp:posOffset>
                </wp:positionV>
                <wp:extent cx="38100" cy="175260"/>
                <wp:effectExtent l="0" t="0" r="0" b="0"/>
                <wp:wrapNone/>
                <wp:docPr id="283" name="Frame33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72">
                <wp:simplePos x="0" y="0"/>
                <wp:positionH relativeFrom="page">
                  <wp:posOffset>2286000</wp:posOffset>
                </wp:positionH>
                <wp:positionV relativeFrom="line">
                  <wp:posOffset>635</wp:posOffset>
                </wp:positionV>
                <wp:extent cx="4571365" cy="175260"/>
                <wp:effectExtent l="0" t="0" r="0" b="0"/>
                <wp:wrapNone/>
                <wp:docPr id="284" name="Frame333"/>
                <a:graphic xmlns:a="http://schemas.openxmlformats.org/drawingml/2006/main">
                  <a:graphicData uri="http://schemas.microsoft.com/office/word/2010/wordprocessingShape">
                    <wps:wsp>
                      <wps:cNvSpPr txBox="1"/>
                      <wps:spPr>
                        <a:xfrm>
                          <a:off x="0" y="0"/>
                          <a:ext cx="45713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Amendment and the Credit Agreement with respect to the matters set forth</w:t>
                            </w:r>
                          </w:p>
                        </w:txbxContent>
                      </wps:txbx>
                      <wps:bodyPr anchor="t" lIns="0" tIns="0" rIns="0" bIns="0">
                        <a:noAutofit/>
                      </wps:bodyPr>
                    </wps:wsp>
                  </a:graphicData>
                </a:graphic>
              </wp:anchor>
            </w:drawing>
          </mc:Choice>
          <mc:Fallback>
            <w:pict>
              <v:rect style="position:absolute;rotation:-0;width:359.95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Amendment and the Credit Agreement with respect to the matters set forth</w:t>
                      </w:r>
                    </w:p>
                  </w:txbxContent>
                </v:textbox>
                <w10:wrap type="none"/>
              </v:rect>
            </w:pict>
          </mc:Fallback>
        </mc:AlternateContent>
      </w:r>
      <w:r>
        <mc:AlternateContent>
          <mc:Choice Requires="wps">
            <w:drawing>
              <wp:anchor behindDoc="0" distT="0" distB="0" distL="0" distR="0" simplePos="0" locked="0" layoutInCell="1" allowOverlap="1" relativeHeight="373">
                <wp:simplePos x="0" y="0"/>
                <wp:positionH relativeFrom="page">
                  <wp:posOffset>6857365</wp:posOffset>
                </wp:positionH>
                <wp:positionV relativeFrom="line">
                  <wp:posOffset>635</wp:posOffset>
                </wp:positionV>
                <wp:extent cx="38100" cy="175260"/>
                <wp:effectExtent l="0" t="0" r="0" b="0"/>
                <wp:wrapNone/>
                <wp:docPr id="285" name="Frame33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74">
                <wp:simplePos x="0" y="0"/>
                <wp:positionH relativeFrom="page">
                  <wp:posOffset>2286000</wp:posOffset>
                </wp:positionH>
                <wp:positionV relativeFrom="line">
                  <wp:posOffset>635</wp:posOffset>
                </wp:positionV>
                <wp:extent cx="4570730" cy="175260"/>
                <wp:effectExtent l="0" t="0" r="0" b="0"/>
                <wp:wrapNone/>
                <wp:docPr id="286" name="Frame335"/>
                <a:graphic xmlns:a="http://schemas.openxmlformats.org/drawingml/2006/main">
                  <a:graphicData uri="http://schemas.microsoft.com/office/word/2010/wordprocessingShape">
                    <wps:wsp>
                      <wps:cNvSpPr txBox="1"/>
                      <wps:spPr>
                        <a:xfrm>
                          <a:off x="0" y="0"/>
                          <a:ext cx="45707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herein, this Amendment shall take precedence. References in any of the</w:t>
                            </w:r>
                          </w:p>
                        </w:txbxContent>
                      </wps:txbx>
                      <wps:bodyPr anchor="t" lIns="0" tIns="0" rIns="0" bIns="0">
                        <a:noAutofit/>
                      </wps:bodyPr>
                    </wps:wsp>
                  </a:graphicData>
                </a:graphic>
              </wp:anchor>
            </w:drawing>
          </mc:Choice>
          <mc:Fallback>
            <w:pict>
              <v:rect style="position:absolute;rotation:-0;width:359.9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herein, this Amendment shall take precedence. References in any of the</w:t>
                      </w:r>
                    </w:p>
                  </w:txbxContent>
                </v:textbox>
                <w10:wrap type="none"/>
              </v:rect>
            </w:pict>
          </mc:Fallback>
        </mc:AlternateContent>
      </w:r>
      <w:r>
        <mc:AlternateContent>
          <mc:Choice Requires="wps">
            <w:drawing>
              <wp:anchor behindDoc="0" distT="0" distB="0" distL="0" distR="0" simplePos="0" locked="0" layoutInCell="1" allowOverlap="1" relativeHeight="375">
                <wp:simplePos x="0" y="0"/>
                <wp:positionH relativeFrom="page">
                  <wp:posOffset>6856730</wp:posOffset>
                </wp:positionH>
                <wp:positionV relativeFrom="line">
                  <wp:posOffset>635</wp:posOffset>
                </wp:positionV>
                <wp:extent cx="38100" cy="175260"/>
                <wp:effectExtent l="0" t="0" r="0" b="0"/>
                <wp:wrapNone/>
                <wp:docPr id="287" name="Frame33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76">
                <wp:simplePos x="0" y="0"/>
                <wp:positionH relativeFrom="page">
                  <wp:posOffset>2286000</wp:posOffset>
                </wp:positionH>
                <wp:positionV relativeFrom="line">
                  <wp:posOffset>635</wp:posOffset>
                </wp:positionV>
                <wp:extent cx="4571365" cy="175260"/>
                <wp:effectExtent l="0" t="0" r="0" b="0"/>
                <wp:wrapNone/>
                <wp:docPr id="288" name="Frame337"/>
                <a:graphic xmlns:a="http://schemas.openxmlformats.org/drawingml/2006/main">
                  <a:graphicData uri="http://schemas.microsoft.com/office/word/2010/wordprocessingShape">
                    <wps:wsp>
                      <wps:cNvSpPr txBox="1"/>
                      <wps:spPr>
                        <a:xfrm>
                          <a:off x="0" y="0"/>
                          <a:ext cx="45713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Transaction Documents or amendments thereto to the Credit Agreement</w:t>
                            </w:r>
                          </w:p>
                        </w:txbxContent>
                      </wps:txbx>
                      <wps:bodyPr anchor="t" lIns="0" tIns="0" rIns="0" bIns="0">
                        <a:noAutofit/>
                      </wps:bodyPr>
                    </wps:wsp>
                  </a:graphicData>
                </a:graphic>
              </wp:anchor>
            </w:drawing>
          </mc:Choice>
          <mc:Fallback>
            <w:pict>
              <v:rect style="position:absolute;rotation:-0;width:359.95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Transaction Documents or amendments thereto to the Credit Agreement</w:t>
                      </w:r>
                    </w:p>
                  </w:txbxContent>
                </v:textbox>
                <w10:wrap type="none"/>
              </v:rect>
            </w:pict>
          </mc:Fallback>
        </mc:AlternateContent>
      </w:r>
      <w:r>
        <mc:AlternateContent>
          <mc:Choice Requires="wps">
            <w:drawing>
              <wp:anchor behindDoc="0" distT="0" distB="0" distL="0" distR="0" simplePos="0" locked="0" layoutInCell="1" allowOverlap="1" relativeHeight="377">
                <wp:simplePos x="0" y="0"/>
                <wp:positionH relativeFrom="page">
                  <wp:posOffset>6857365</wp:posOffset>
                </wp:positionH>
                <wp:positionV relativeFrom="line">
                  <wp:posOffset>635</wp:posOffset>
                </wp:positionV>
                <wp:extent cx="38100" cy="175260"/>
                <wp:effectExtent l="0" t="0" r="0" b="0"/>
                <wp:wrapNone/>
                <wp:docPr id="289" name="Frame33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78">
                <wp:simplePos x="0" y="0"/>
                <wp:positionH relativeFrom="page">
                  <wp:posOffset>2286000</wp:posOffset>
                </wp:positionH>
                <wp:positionV relativeFrom="line">
                  <wp:posOffset>635</wp:posOffset>
                </wp:positionV>
                <wp:extent cx="4570730" cy="175260"/>
                <wp:effectExtent l="0" t="0" r="0" b="0"/>
                <wp:wrapNone/>
                <wp:docPr id="290" name="Frame339"/>
                <a:graphic xmlns:a="http://schemas.openxmlformats.org/drawingml/2006/main">
                  <a:graphicData uri="http://schemas.microsoft.com/office/word/2010/wordprocessingShape">
                    <wps:wsp>
                      <wps:cNvSpPr txBox="1"/>
                      <wps:spPr>
                        <a:xfrm>
                          <a:off x="0" y="0"/>
                          <a:ext cx="45707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shall be deemed to mean the Credit Agreement, as applicable, as amended</w:t>
                            </w:r>
                          </w:p>
                        </w:txbxContent>
                      </wps:txbx>
                      <wps:bodyPr anchor="t" lIns="0" tIns="0" rIns="0" bIns="0">
                        <a:noAutofit/>
                      </wps:bodyPr>
                    </wps:wsp>
                  </a:graphicData>
                </a:graphic>
              </wp:anchor>
            </w:drawing>
          </mc:Choice>
          <mc:Fallback>
            <w:pict>
              <v:rect style="position:absolute;rotation:-0;width:359.9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shall be deemed to mean the Credit Agreement, as applicable, as amended</w:t>
                      </w:r>
                    </w:p>
                  </w:txbxContent>
                </v:textbox>
                <w10:wrap type="none"/>
              </v:rect>
            </w:pict>
          </mc:Fallback>
        </mc:AlternateContent>
      </w:r>
      <w:r>
        <mc:AlternateContent>
          <mc:Choice Requires="wps">
            <w:drawing>
              <wp:anchor behindDoc="0" distT="0" distB="0" distL="0" distR="0" simplePos="0" locked="0" layoutInCell="1" allowOverlap="1" relativeHeight="407">
                <wp:simplePos x="0" y="0"/>
                <wp:positionH relativeFrom="page">
                  <wp:posOffset>6856730</wp:posOffset>
                </wp:positionH>
                <wp:positionV relativeFrom="line">
                  <wp:posOffset>635</wp:posOffset>
                </wp:positionV>
                <wp:extent cx="38100" cy="175260"/>
                <wp:effectExtent l="0" t="0" r="0" b="0"/>
                <wp:wrapNone/>
                <wp:docPr id="291" name="Frame36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80">
                <wp:simplePos x="0" y="0"/>
                <wp:positionH relativeFrom="page">
                  <wp:posOffset>2286000</wp:posOffset>
                </wp:positionH>
                <wp:positionV relativeFrom="line">
                  <wp:posOffset>635</wp:posOffset>
                </wp:positionV>
                <wp:extent cx="1239520" cy="350520"/>
                <wp:effectExtent l="0" t="0" r="0" b="0"/>
                <wp:wrapNone/>
                <wp:docPr id="292" name="Frame341"/>
                <a:graphic xmlns:a="http://schemas.openxmlformats.org/drawingml/2006/main">
                  <a:graphicData uri="http://schemas.microsoft.com/office/word/2010/wordprocessingShape">
                    <wps:wsp>
                      <wps:cNvSpPr txBox="1"/>
                      <wps:spPr>
                        <a:xfrm>
                          <a:off x="0" y="0"/>
                          <a:ext cx="123952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by this Amendment.</w:t>
                            </w:r>
                          </w:p>
                        </w:txbxContent>
                      </wps:txbx>
                      <wps:bodyPr anchor="t" lIns="0" tIns="0" rIns="0" bIns="0">
                        <a:noAutofit/>
                      </wps:bodyPr>
                    </wps:wsp>
                  </a:graphicData>
                </a:graphic>
              </wp:anchor>
            </w:drawing>
          </mc:Choice>
          <mc:Fallback>
            <w:pict>
              <v:rect style="position:absolute;rotation:-0;width:97.6pt;height:27.6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by this Amendment.</w:t>
                      </w:r>
                    </w:p>
                  </w:txbxContent>
                </v:textbox>
                <w10:wrap type="none"/>
              </v:rect>
            </w:pict>
          </mc:Fallback>
        </mc:AlternateContent>
      </w:r>
      <w:r>
        <mc:AlternateContent>
          <mc:Choice Requires="wps">
            <w:drawing>
              <wp:anchor behindDoc="0" distT="0" distB="0" distL="0" distR="0" simplePos="0" locked="0" layoutInCell="1" allowOverlap="1" relativeHeight="381">
                <wp:simplePos x="0" y="0"/>
                <wp:positionH relativeFrom="page">
                  <wp:posOffset>3525520</wp:posOffset>
                </wp:positionH>
                <wp:positionV relativeFrom="line">
                  <wp:posOffset>635</wp:posOffset>
                </wp:positionV>
                <wp:extent cx="76200" cy="175260"/>
                <wp:effectExtent l="0" t="0" r="0" b="0"/>
                <wp:wrapNone/>
                <wp:docPr id="293" name="Frame342"/>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p>
                        </w:txbxContent>
                      </wps:txbx>
                      <wps:bodyPr anchor="t" lIns="0" tIns="0" rIns="0" bIns="0">
                        <a:noAutofit/>
                      </wps:bodyPr>
                    </wps:wsp>
                  </a:graphicData>
                </a:graphic>
              </wp:anchor>
            </w:drawing>
          </mc:Choice>
          <mc:Fallback>
            <w:pict>
              <v:rect style="position:absolute;rotation:-0;width:6pt;height:13.8pt;mso-wrap-distance-left:0pt;mso-wrap-distance-right:0pt;mso-wrap-distance-top:0pt;mso-wrap-distance-bottom:0pt;margin-top:0pt;mso-position-vertical:top;mso-position-vertical-relative:text;margin-left:277.6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382">
                <wp:simplePos x="0" y="0"/>
                <wp:positionH relativeFrom="page">
                  <wp:posOffset>1828800</wp:posOffset>
                </wp:positionH>
                <wp:positionV relativeFrom="line">
                  <wp:posOffset>635</wp:posOffset>
                </wp:positionV>
                <wp:extent cx="177800" cy="175260"/>
                <wp:effectExtent l="0" t="0" r="0" b="0"/>
                <wp:wrapNone/>
                <wp:docPr id="294" name="Frame343"/>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(b)</w:t>
                            </w:r>
                          </w:p>
                        </w:txbxContent>
                      </wps:txbx>
                      <wps:bodyPr anchor="t" lIns="0" tIns="0" rIns="0" bIns="0">
                        <a:noAutofit/>
                      </wps:bodyPr>
                    </wps:wsp>
                  </a:graphicData>
                </a:graphic>
              </wp:anchor>
            </w:drawing>
          </mc:Choice>
          <mc:Fallback>
            <w:pict>
              <v:rect style="position:absolute;rotation:-0;width:14pt;height:13.8pt;mso-wrap-distance-left:0pt;mso-wrap-distance-right:0pt;mso-wrap-distance-top:0pt;mso-wrap-distance-bottom:0pt;margin-top:0pt;mso-position-vertical:top;mso-position-vertical-relative:text;margin-left:14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(b)</w:t>
                      </w:r>
                    </w:p>
                  </w:txbxContent>
                </v:textbox>
                <w10:wrap type="none"/>
              </v:rect>
            </w:pict>
          </mc:Fallback>
        </mc:AlternateContent>
      </w:r>
      <w:r>
        <mc:AlternateContent>
          <mc:Choice Requires="wps">
            <w:drawing>
              <wp:anchor behindDoc="0" distT="0" distB="0" distL="0" distR="0" simplePos="0" locked="0" layoutInCell="1" allowOverlap="1" relativeHeight="383">
                <wp:simplePos x="0" y="0"/>
                <wp:positionH relativeFrom="page">
                  <wp:posOffset>2286000</wp:posOffset>
                </wp:positionH>
                <wp:positionV relativeFrom="line">
                  <wp:posOffset>635</wp:posOffset>
                </wp:positionV>
                <wp:extent cx="786765" cy="350520"/>
                <wp:effectExtent l="0" t="0" r="0" b="0"/>
                <wp:wrapNone/>
                <wp:docPr id="295" name="Frame344"/>
                <a:graphic xmlns:a="http://schemas.openxmlformats.org/drawingml/2006/main">
                  <a:graphicData uri="http://schemas.microsoft.com/office/word/2010/wordprocessingShape">
                    <wps:wsp>
                      <wps:cNvSpPr txBox="1"/>
                      <wps:spPr>
                        <a:xfrm>
                          <a:off x="0" y="0"/>
                          <a:ext cx="78676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Counterparts</w:t>
                            </w:r>
                          </w:p>
                        </w:txbxContent>
                      </wps:txbx>
                      <wps:bodyPr anchor="t" lIns="0" tIns="0" rIns="0" bIns="0">
                        <a:noAutofit/>
                      </wps:bodyPr>
                    </wps:wsp>
                  </a:graphicData>
                </a:graphic>
              </wp:anchor>
            </w:drawing>
          </mc:Choice>
          <mc:Fallback>
            <w:pict>
              <v:rect style="position:absolute;rotation:-0;width:61.95pt;height:27.6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Counterparts</w:t>
                      </w:r>
                    </w:p>
                  </w:txbxContent>
                </v:textbox>
                <w10:wrap type="none"/>
              </v:rect>
            </w:pict>
          </mc:Fallback>
        </mc:AlternateContent>
      </w:r>
      <w:r>
        <mc:AlternateContent>
          <mc:Choice Requires="wps">
            <w:drawing>
              <wp:anchor behindDoc="0" distT="0" distB="0" distL="0" distR="0" simplePos="0" locked="0" layoutInCell="1" allowOverlap="1" relativeHeight="384">
                <wp:simplePos x="0" y="0"/>
                <wp:positionH relativeFrom="page">
                  <wp:posOffset>3072765</wp:posOffset>
                </wp:positionH>
                <wp:positionV relativeFrom="line">
                  <wp:posOffset>635</wp:posOffset>
                </wp:positionV>
                <wp:extent cx="3784600" cy="175260"/>
                <wp:effectExtent l="0" t="0" r="0" b="0"/>
                <wp:wrapNone/>
                <wp:docPr id="296" name="Frame345"/>
                <a:graphic xmlns:a="http://schemas.openxmlformats.org/drawingml/2006/main">
                  <a:graphicData uri="http://schemas.microsoft.com/office/word/2010/wordprocessingShape">
                    <wps:wsp>
                      <wps:cNvSpPr txBox="1"/>
                      <wps:spPr>
                        <a:xfrm>
                          <a:off x="0" y="0"/>
                          <a:ext cx="37846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This Amendment shall be valid, binding, and enforceable</w:t>
                            </w:r>
                          </w:p>
                        </w:txbxContent>
                      </wps:txbx>
                      <wps:bodyPr anchor="t" lIns="0" tIns="0" rIns="0" bIns="0">
                        <a:noAutofit/>
                      </wps:bodyPr>
                    </wps:wsp>
                  </a:graphicData>
                </a:graphic>
              </wp:anchor>
            </w:drawing>
          </mc:Choice>
          <mc:Fallback>
            <w:pict>
              <v:rect style="position:absolute;rotation:-0;width:298pt;height:13.8pt;mso-wrap-distance-left:0pt;mso-wrap-distance-right:0pt;mso-wrap-distance-top:0pt;mso-wrap-distance-bottom:0pt;margin-top:0pt;mso-position-vertical:top;mso-position-vertical-relative:text;margin-left:241.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This Amendment shall be valid, binding, and enforceable</w:t>
                      </w:r>
                    </w:p>
                  </w:txbxContent>
                </v:textbox>
                <w10:wrap type="none"/>
              </v:rect>
            </w:pict>
          </mc:Fallback>
        </mc:AlternateContent>
      </w:r>
      <w:r>
        <mc:AlternateContent>
          <mc:Choice Requires="wps">
            <w:drawing>
              <wp:anchor behindDoc="0" distT="0" distB="0" distL="0" distR="0" simplePos="0" locked="0" layoutInCell="1" allowOverlap="1" relativeHeight="385">
                <wp:simplePos x="0" y="0"/>
                <wp:positionH relativeFrom="page">
                  <wp:posOffset>6857365</wp:posOffset>
                </wp:positionH>
                <wp:positionV relativeFrom="line">
                  <wp:posOffset>635</wp:posOffset>
                </wp:positionV>
                <wp:extent cx="38100" cy="175260"/>
                <wp:effectExtent l="0" t="0" r="0" b="0"/>
                <wp:wrapNone/>
                <wp:docPr id="297" name="Frame34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86">
                <wp:simplePos x="0" y="0"/>
                <wp:positionH relativeFrom="page">
                  <wp:posOffset>2286000</wp:posOffset>
                </wp:positionH>
                <wp:positionV relativeFrom="line">
                  <wp:posOffset>635</wp:posOffset>
                </wp:positionV>
                <wp:extent cx="4570730" cy="175260"/>
                <wp:effectExtent l="0" t="0" r="0" b="0"/>
                <wp:wrapNone/>
                <wp:docPr id="298" name="Frame347"/>
                <a:graphic xmlns:a="http://schemas.openxmlformats.org/drawingml/2006/main">
                  <a:graphicData uri="http://schemas.microsoft.com/office/word/2010/wordprocessingShape">
                    <wps:wsp>
                      <wps:cNvSpPr txBox="1"/>
                      <wps:spPr>
                        <a:xfrm>
                          <a:off x="0" y="0"/>
                          <a:ext cx="45707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against a party when executed and delivered by an authorized individual</w:t>
                            </w:r>
                          </w:p>
                        </w:txbxContent>
                      </wps:txbx>
                      <wps:bodyPr anchor="t" lIns="0" tIns="0" rIns="0" bIns="0">
                        <a:noAutofit/>
                      </wps:bodyPr>
                    </wps:wsp>
                  </a:graphicData>
                </a:graphic>
              </wp:anchor>
            </w:drawing>
          </mc:Choice>
          <mc:Fallback>
            <w:pict>
              <v:rect style="position:absolute;rotation:-0;width:359.9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against a party when executed and delivered by an authorized individual</w:t>
                      </w:r>
                    </w:p>
                  </w:txbxContent>
                </v:textbox>
                <w10:wrap type="none"/>
              </v:rect>
            </w:pict>
          </mc:Fallback>
        </mc:AlternateContent>
      </w:r>
      <w:r>
        <mc:AlternateContent>
          <mc:Choice Requires="wps">
            <w:drawing>
              <wp:anchor behindDoc="0" distT="0" distB="0" distL="0" distR="0" simplePos="0" locked="0" layoutInCell="1" allowOverlap="1" relativeHeight="387">
                <wp:simplePos x="0" y="0"/>
                <wp:positionH relativeFrom="page">
                  <wp:posOffset>6856730</wp:posOffset>
                </wp:positionH>
                <wp:positionV relativeFrom="line">
                  <wp:posOffset>635</wp:posOffset>
                </wp:positionV>
                <wp:extent cx="38100" cy="175260"/>
                <wp:effectExtent l="0" t="0" r="0" b="0"/>
                <wp:wrapNone/>
                <wp:docPr id="299" name="Frame34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36">
                <wp:simplePos x="0" y="0"/>
                <wp:positionH relativeFrom="page">
                  <wp:posOffset>6856730</wp:posOffset>
                </wp:positionH>
                <wp:positionV relativeFrom="line">
                  <wp:posOffset>635</wp:posOffset>
                </wp:positionV>
                <wp:extent cx="38100" cy="175260"/>
                <wp:effectExtent l="0" t="0" r="0" b="0"/>
                <wp:wrapNone/>
                <wp:docPr id="300" name="Frame39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7">
                <wp:simplePos x="0" y="0"/>
                <wp:positionH relativeFrom="page">
                  <wp:posOffset>6857365</wp:posOffset>
                </wp:positionH>
                <wp:positionV relativeFrom="line">
                  <wp:posOffset>635</wp:posOffset>
                </wp:positionV>
                <wp:extent cx="38100" cy="175260"/>
                <wp:effectExtent l="0" t="0" r="0" b="0"/>
                <wp:wrapNone/>
                <wp:docPr id="301" name="Frame38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8">
                <wp:simplePos x="0" y="0"/>
                <wp:positionH relativeFrom="page">
                  <wp:posOffset>2286000</wp:posOffset>
                </wp:positionH>
                <wp:positionV relativeFrom="line">
                  <wp:posOffset>635</wp:posOffset>
                </wp:positionV>
                <wp:extent cx="4571365" cy="175260"/>
                <wp:effectExtent l="0" t="0" r="0" b="0"/>
                <wp:wrapNone/>
                <wp:docPr id="302" name="Frame389"/>
                <a:graphic xmlns:a="http://schemas.openxmlformats.org/drawingml/2006/main">
                  <a:graphicData uri="http://schemas.microsoft.com/office/word/2010/wordprocessingShape">
                    <wps:wsp>
                      <wps:cNvSpPr txBox="1"/>
                      <wps:spPr>
                        <a:xfrm>
                          <a:off x="0" y="0"/>
                          <a:ext cx="45713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shall be used for execution or indorsement of writings when required</w:t>
                            </w:r>
                          </w:p>
                        </w:txbxContent>
                      </wps:txbx>
                      <wps:bodyPr anchor="t" lIns="0" tIns="0" rIns="0" bIns="0">
                        <a:noAutofit/>
                      </wps:bodyPr>
                    </wps:wsp>
                  </a:graphicData>
                </a:graphic>
              </wp:anchor>
            </w:drawing>
          </mc:Choice>
          <mc:Fallback>
            <w:pict>
              <v:rect style="position:absolute;rotation:-0;width:359.95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shall be used for execution or indorsement of writings when required</w:t>
                      </w:r>
                    </w:p>
                  </w:txbxContent>
                </v:textbox>
                <w10:wrap type="none"/>
              </v:rect>
            </w:pict>
          </mc:Fallback>
        </mc:AlternateContent>
      </w:r>
      <w:r>
        <mc:AlternateContent>
          <mc:Choice Requires="wps">
            <w:drawing>
              <wp:anchor behindDoc="0" distT="0" distB="0" distL="0" distR="0" simplePos="0" locked="0" layoutInCell="1" allowOverlap="1" relativeHeight="429">
                <wp:simplePos x="0" y="0"/>
                <wp:positionH relativeFrom="page">
                  <wp:posOffset>6857365</wp:posOffset>
                </wp:positionH>
                <wp:positionV relativeFrom="line">
                  <wp:posOffset>635</wp:posOffset>
                </wp:positionV>
                <wp:extent cx="38100" cy="175260"/>
                <wp:effectExtent l="0" t="0" r="0" b="0"/>
                <wp:wrapNone/>
                <wp:docPr id="303" name="Frame39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30">
                <wp:simplePos x="0" y="0"/>
                <wp:positionH relativeFrom="page">
                  <wp:posOffset>2286000</wp:posOffset>
                </wp:positionH>
                <wp:positionV relativeFrom="line">
                  <wp:posOffset>635</wp:posOffset>
                </wp:positionV>
                <wp:extent cx="4572000" cy="175260"/>
                <wp:effectExtent l="0" t="0" r="0" b="0"/>
                <wp:wrapNone/>
                <wp:docPr id="304" name="Frame391"/>
                <a:graphic xmlns:a="http://schemas.openxmlformats.org/drawingml/2006/main">
                  <a:graphicData uri="http://schemas.microsoft.com/office/word/2010/wordprocessingShape">
                    <wps:wsp>
                      <wps:cNvSpPr txBox="1"/>
                      <wps:spPr>
                        <a:xfrm>
                          <a:off x="0" y="0"/>
                          <a:ext cx="45720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under the UCC or other Signature Law due to the character or intended</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under the UCC or other Signature Law due to the character or intended</w:t>
                      </w:r>
                    </w:p>
                  </w:txbxContent>
                </v:textbox>
                <w10:wrap type="none"/>
              </v:rect>
            </w:pict>
          </mc:Fallback>
        </mc:AlternateContent>
      </w:r>
      <w:r>
        <mc:AlternateContent>
          <mc:Choice Requires="wps">
            <w:drawing>
              <wp:anchor behindDoc="0" distT="0" distB="0" distL="0" distR="0" simplePos="0" locked="0" layoutInCell="1" allowOverlap="1" relativeHeight="431">
                <wp:simplePos x="0" y="0"/>
                <wp:positionH relativeFrom="page">
                  <wp:posOffset>6858000</wp:posOffset>
                </wp:positionH>
                <wp:positionV relativeFrom="line">
                  <wp:posOffset>635</wp:posOffset>
                </wp:positionV>
                <wp:extent cx="38100" cy="175260"/>
                <wp:effectExtent l="0" t="0" r="0" b="0"/>
                <wp:wrapNone/>
                <wp:docPr id="305" name="Frame39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32">
                <wp:simplePos x="0" y="0"/>
                <wp:positionH relativeFrom="page">
                  <wp:posOffset>2286000</wp:posOffset>
                </wp:positionH>
                <wp:positionV relativeFrom="line">
                  <wp:posOffset>635</wp:posOffset>
                </wp:positionV>
                <wp:extent cx="1522095" cy="350520"/>
                <wp:effectExtent l="0" t="0" r="0" b="0"/>
                <wp:wrapNone/>
                <wp:docPr id="306" name="Frame393"/>
                <a:graphic xmlns:a="http://schemas.openxmlformats.org/drawingml/2006/main">
                  <a:graphicData uri="http://schemas.microsoft.com/office/word/2010/wordprocessingShape">
                    <wps:wsp>
                      <wps:cNvSpPr txBox="1"/>
                      <wps:spPr>
                        <a:xfrm>
                          <a:off x="0" y="0"/>
                          <a:ext cx="152209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character of the writings.</w:t>
                            </w:r>
                          </w:p>
                        </w:txbxContent>
                      </wps:txbx>
                      <wps:bodyPr anchor="t" lIns="0" tIns="0" rIns="0" bIns="0">
                        <a:noAutofit/>
                      </wps:bodyPr>
                    </wps:wsp>
                  </a:graphicData>
                </a:graphic>
              </wp:anchor>
            </w:drawing>
          </mc:Choice>
          <mc:Fallback>
            <w:pict>
              <v:rect style="position:absolute;rotation:-0;width:119.85pt;height:27.6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character of the writings.</w:t>
                      </w:r>
                    </w:p>
                  </w:txbxContent>
                </v:textbox>
                <w10:wrap type="none"/>
              </v:rect>
            </w:pict>
          </mc:Fallback>
        </mc:AlternateContent>
      </w:r>
      <w:r>
        <mc:AlternateContent>
          <mc:Choice Requires="wps">
            <w:drawing>
              <wp:anchor behindDoc="0" distT="0" distB="0" distL="0" distR="0" simplePos="0" locked="0" layoutInCell="1" allowOverlap="1" relativeHeight="433">
                <wp:simplePos x="0" y="0"/>
                <wp:positionH relativeFrom="page">
                  <wp:posOffset>1828800</wp:posOffset>
                </wp:positionH>
                <wp:positionV relativeFrom="line">
                  <wp:posOffset>635</wp:posOffset>
                </wp:positionV>
                <wp:extent cx="168910" cy="350520"/>
                <wp:effectExtent l="0" t="0" r="0" b="0"/>
                <wp:wrapNone/>
                <wp:docPr id="307" name="Frame394"/>
                <a:graphic xmlns:a="http://schemas.openxmlformats.org/drawingml/2006/main">
                  <a:graphicData uri="http://schemas.microsoft.com/office/word/2010/wordprocessingShape">
                    <wps:wsp>
                      <wps:cNvSpPr txBox="1"/>
                      <wps:spPr>
                        <a:xfrm>
                          <a:off x="0" y="0"/>
                          <a:ext cx="16891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w:t>
                            </w:r>
                          </w:p>
                        </w:txbxContent>
                      </wps:txbx>
                      <wps:bodyPr anchor="t" lIns="0" tIns="0" rIns="0" bIns="0">
                        <a:noAutofit/>
                      </wps:bodyPr>
                    </wps:wsp>
                  </a:graphicData>
                </a:graphic>
              </wp:anchor>
            </w:drawing>
          </mc:Choice>
          <mc:Fallback>
            <w:pict>
              <v:rect style="position:absolute;rotation:-0;width:13.3pt;height:27.6pt;mso-wrap-distance-left:0pt;mso-wrap-distance-right:0pt;mso-wrap-distance-top:0pt;mso-wrap-distance-bottom:0pt;margin-top:0pt;mso-position-vertical:top;mso-position-vertical-relative:text;margin-left:14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w:t>
                      </w:r>
                    </w:p>
                  </w:txbxContent>
                </v:textbox>
                <w10:wrap type="none"/>
              </v:rect>
            </w:pict>
          </mc:Fallback>
        </mc:AlternateContent>
      </w:r>
      <w:r>
        <mc:AlternateContent>
          <mc:Choice Requires="wps">
            <w:drawing>
              <wp:anchor behindDoc="0" distT="0" distB="0" distL="0" distR="0" simplePos="0" locked="0" layoutInCell="1" allowOverlap="1" relativeHeight="434">
                <wp:simplePos x="0" y="0"/>
                <wp:positionH relativeFrom="page">
                  <wp:posOffset>2286000</wp:posOffset>
                </wp:positionH>
                <wp:positionV relativeFrom="line">
                  <wp:posOffset>635</wp:posOffset>
                </wp:positionV>
                <wp:extent cx="575310" cy="350520"/>
                <wp:effectExtent l="0" t="0" r="0" b="0"/>
                <wp:wrapNone/>
                <wp:docPr id="308" name="Frame395"/>
                <a:graphic xmlns:a="http://schemas.openxmlformats.org/drawingml/2006/main">
                  <a:graphicData uri="http://schemas.microsoft.com/office/word/2010/wordprocessingShape">
                    <wps:wsp>
                      <wps:cNvSpPr txBox="1"/>
                      <wps:spPr>
                        <a:xfrm>
                          <a:off x="0" y="0"/>
                          <a:ext cx="57531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Headings</w:t>
                            </w:r>
                          </w:p>
                        </w:txbxContent>
                      </wps:txbx>
                      <wps:bodyPr anchor="t" lIns="0" tIns="0" rIns="0" bIns="0">
                        <a:noAutofit/>
                      </wps:bodyPr>
                    </wps:wsp>
                  </a:graphicData>
                </a:graphic>
              </wp:anchor>
            </w:drawing>
          </mc:Choice>
          <mc:Fallback>
            <w:pict>
              <v:rect style="position:absolute;rotation:-0;width:45.3pt;height:27.6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Headings</w:t>
                      </w:r>
                    </w:p>
                  </w:txbxContent>
                </v:textbox>
                <w10:wrap type="none"/>
              </v:rect>
            </w:pict>
          </mc:Fallback>
        </mc:AlternateContent>
      </w:r>
      <w:r>
        <mc:AlternateContent>
          <mc:Choice Requires="wps">
            <w:drawing>
              <wp:anchor behindDoc="0" distT="0" distB="0" distL="0" distR="0" simplePos="0" locked="0" layoutInCell="1" allowOverlap="1" relativeHeight="435">
                <wp:simplePos x="0" y="0"/>
                <wp:positionH relativeFrom="page">
                  <wp:posOffset>2861310</wp:posOffset>
                </wp:positionH>
                <wp:positionV relativeFrom="line">
                  <wp:posOffset>635</wp:posOffset>
                </wp:positionV>
                <wp:extent cx="3996055" cy="175260"/>
                <wp:effectExtent l="0" t="0" r="0" b="0"/>
                <wp:wrapNone/>
                <wp:docPr id="309" name="Frame396"/>
                <a:graphic xmlns:a="http://schemas.openxmlformats.org/drawingml/2006/main">
                  <a:graphicData uri="http://schemas.microsoft.com/office/word/2010/wordprocessingShape">
                    <wps:wsp>
                      <wps:cNvSpPr txBox="1"/>
                      <wps:spPr>
                        <a:xfrm>
                          <a:off x="0" y="0"/>
                          <a:ext cx="399605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Captions and headings in this Amendment are for convenience</w:t>
                            </w:r>
                          </w:p>
                        </w:txbxContent>
                      </wps:txbx>
                      <wps:bodyPr anchor="t" lIns="0" tIns="0" rIns="0" bIns="0">
                        <a:noAutofit/>
                      </wps:bodyPr>
                    </wps:wsp>
                  </a:graphicData>
                </a:graphic>
              </wp:anchor>
            </w:drawing>
          </mc:Choice>
          <mc:Fallback>
            <w:pict>
              <v:rect style="position:absolute;rotation:-0;width:314.65pt;height:13.8pt;mso-wrap-distance-left:0pt;mso-wrap-distance-right:0pt;mso-wrap-distance-top:0pt;mso-wrap-distance-bottom:0pt;margin-top:0pt;mso-position-vertical:top;mso-position-vertical-relative:text;margin-left:225.3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Captions and headings in this Amendment are for convenience</w:t>
                      </w:r>
                    </w:p>
                  </w:txbxContent>
                </v:textbox>
                <w10:wrap type="none"/>
              </v:rect>
            </w:pict>
          </mc:Fallback>
        </mc:AlternateContent>
      </w:r>
      <w:r>
        <mc:AlternateContent>
          <mc:Choice Requires="wps">
            <w:drawing>
              <wp:anchor behindDoc="0" distT="0" distB="0" distL="0" distR="0" simplePos="0" locked="0" layoutInCell="1" allowOverlap="1" relativeHeight="426">
                <wp:simplePos x="0" y="0"/>
                <wp:positionH relativeFrom="page">
                  <wp:posOffset>2286000</wp:posOffset>
                </wp:positionH>
                <wp:positionV relativeFrom="line">
                  <wp:posOffset>635</wp:posOffset>
                </wp:positionV>
                <wp:extent cx="4571365" cy="175260"/>
                <wp:effectExtent l="0" t="0" r="0" b="0"/>
                <wp:wrapNone/>
                <wp:docPr id="310" name="Frame387"/>
                <a:graphic xmlns:a="http://schemas.openxmlformats.org/drawingml/2006/main">
                  <a:graphicData uri="http://schemas.microsoft.com/office/word/2010/wordprocessingShape">
                    <wps:wsp>
                      <wps:cNvSpPr txBox="1"/>
                      <wps:spPr>
                        <a:xfrm>
                          <a:off x="0" y="0"/>
                          <a:ext cx="45713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same instrument. For the avoidance of doubt, original manual signatures</w:t>
                            </w:r>
                          </w:p>
                        </w:txbxContent>
                      </wps:txbx>
                      <wps:bodyPr anchor="t" lIns="0" tIns="0" rIns="0" bIns="0">
                        <a:noAutofit/>
                      </wps:bodyPr>
                    </wps:wsp>
                  </a:graphicData>
                </a:graphic>
              </wp:anchor>
            </w:drawing>
          </mc:Choice>
          <mc:Fallback>
            <w:pict>
              <v:rect style="position:absolute;rotation:-0;width:359.95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same instrument. For the avoidance of doubt, original manual signatures</w:t>
                      </w:r>
                    </w:p>
                  </w:txbxContent>
                </v:textbox>
                <w10:wrap type="none"/>
              </v:rect>
            </w:pict>
          </mc:Fallback>
        </mc:AlternateContent>
      </w:r>
      <w:r>
        <mc:AlternateContent>
          <mc:Choice Requires="wps">
            <w:drawing>
              <wp:anchor behindDoc="0" distT="0" distB="0" distL="0" distR="0" simplePos="0" locked="0" layoutInCell="1" allowOverlap="1" relativeHeight="437">
                <wp:simplePos x="0" y="0"/>
                <wp:positionH relativeFrom="page">
                  <wp:posOffset>2286000</wp:posOffset>
                </wp:positionH>
                <wp:positionV relativeFrom="line">
                  <wp:posOffset>635</wp:posOffset>
                </wp:positionV>
                <wp:extent cx="3362960" cy="350520"/>
                <wp:effectExtent l="0" t="0" r="0" b="0"/>
                <wp:wrapNone/>
                <wp:docPr id="311" name="Frame398"/>
                <a:graphic xmlns:a="http://schemas.openxmlformats.org/drawingml/2006/main">
                  <a:graphicData uri="http://schemas.microsoft.com/office/word/2010/wordprocessingShape">
                    <wps:wsp>
                      <wps:cNvSpPr txBox="1"/>
                      <wps:spPr>
                        <a:xfrm>
                          <a:off x="0" y="0"/>
                          <a:ext cx="336296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only and are not to be deemed part of this Amendment.</w:t>
                            </w:r>
                          </w:p>
                        </w:txbxContent>
                      </wps:txbx>
                      <wps:bodyPr anchor="t" lIns="0" tIns="0" rIns="0" bIns="0">
                        <a:noAutofit/>
                      </wps:bodyPr>
                    </wps:wsp>
                  </a:graphicData>
                </a:graphic>
              </wp:anchor>
            </w:drawing>
          </mc:Choice>
          <mc:Fallback>
            <w:pict>
              <v:rect style="position:absolute;rotation:-0;width:264.8pt;height:27.6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only and are not to be deemed part of this Amendment.</w:t>
                      </w:r>
                    </w:p>
                  </w:txbxContent>
                </v:textbox>
                <w10:wrap type="none"/>
              </v:rect>
            </w:pict>
          </mc:Fallback>
        </mc:AlternateContent>
      </w:r>
      <w:r>
        <mc:AlternateContent>
          <mc:Choice Requires="wps">
            <w:drawing>
              <wp:anchor behindDoc="0" distT="0" distB="0" distL="0" distR="0" simplePos="0" locked="0" layoutInCell="1" allowOverlap="1" relativeHeight="438">
                <wp:simplePos x="0" y="0"/>
                <wp:positionH relativeFrom="page">
                  <wp:posOffset>1828800</wp:posOffset>
                </wp:positionH>
                <wp:positionV relativeFrom="line">
                  <wp:posOffset>635</wp:posOffset>
                </wp:positionV>
                <wp:extent cx="177800" cy="175260"/>
                <wp:effectExtent l="0" t="0" r="0" b="0"/>
                <wp:wrapNone/>
                <wp:docPr id="312" name="Frame399"/>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(d)</w:t>
                            </w:r>
                          </w:p>
                        </w:txbxContent>
                      </wps:txbx>
                      <wps:bodyPr anchor="t" lIns="0" tIns="0" rIns="0" bIns="0">
                        <a:noAutofit/>
                      </wps:bodyPr>
                    </wps:wsp>
                  </a:graphicData>
                </a:graphic>
              </wp:anchor>
            </w:drawing>
          </mc:Choice>
          <mc:Fallback>
            <w:pict>
              <v:rect style="position:absolute;rotation:-0;width:14pt;height:13.8pt;mso-wrap-distance-left:0pt;mso-wrap-distance-right:0pt;mso-wrap-distance-top:0pt;mso-wrap-distance-bottom:0pt;margin-top:0pt;mso-position-vertical:top;mso-position-vertical-relative:text;margin-left:14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(d)</w:t>
                      </w:r>
                    </w:p>
                  </w:txbxContent>
                </v:textbox>
                <w10:wrap type="none"/>
              </v:rect>
            </w:pict>
          </mc:Fallback>
        </mc:AlternateContent>
      </w:r>
      <w:r>
        <mc:AlternateContent>
          <mc:Choice Requires="wps">
            <w:drawing>
              <wp:anchor behindDoc="0" distT="0" distB="0" distL="0" distR="0" simplePos="0" locked="0" layoutInCell="1" allowOverlap="1" relativeHeight="439">
                <wp:simplePos x="0" y="0"/>
                <wp:positionH relativeFrom="page">
                  <wp:posOffset>2286000</wp:posOffset>
                </wp:positionH>
                <wp:positionV relativeFrom="line">
                  <wp:posOffset>635</wp:posOffset>
                </wp:positionV>
                <wp:extent cx="984885" cy="175260"/>
                <wp:effectExtent l="0" t="0" r="0" b="0"/>
                <wp:wrapNone/>
                <wp:docPr id="313" name="Frame400"/>
                <a:graphic xmlns:a="http://schemas.openxmlformats.org/drawingml/2006/main">
                  <a:graphicData uri="http://schemas.microsoft.com/office/word/2010/wordprocessingShape">
                    <wps:wsp>
                      <wps:cNvSpPr txBox="1"/>
                      <wps:spPr>
                        <a:xfrm>
                          <a:off x="0" y="0"/>
                          <a:ext cx="98488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Governing Law</w:t>
                            </w:r>
                          </w:p>
                        </w:txbxContent>
                      </wps:txbx>
                      <wps:bodyPr anchor="t" lIns="0" tIns="0" rIns="0" bIns="0">
                        <a:noAutofit/>
                      </wps:bodyPr>
                    </wps:wsp>
                  </a:graphicData>
                </a:graphic>
              </wp:anchor>
            </w:drawing>
          </mc:Choice>
          <mc:Fallback>
            <w:pict>
              <v:rect style="position:absolute;rotation:-0;width:77.55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Governing Law</w:t>
                      </w:r>
                    </w:p>
                  </w:txbxContent>
                </v:textbox>
                <w10:wrap type="none"/>
              </v:rect>
            </w:pict>
          </mc:Fallback>
        </mc:AlternateContent>
      </w:r>
      <w:r>
        <mc:AlternateContent>
          <mc:Choice Requires="wps">
            <w:drawing>
              <wp:anchor behindDoc="0" distT="0" distB="0" distL="0" distR="0" simplePos="0" locked="0" layoutInCell="1" allowOverlap="1" relativeHeight="440">
                <wp:simplePos x="0" y="0"/>
                <wp:positionH relativeFrom="page">
                  <wp:posOffset>3270885</wp:posOffset>
                </wp:positionH>
                <wp:positionV relativeFrom="line">
                  <wp:posOffset>635</wp:posOffset>
                </wp:positionV>
                <wp:extent cx="3585845" cy="175260"/>
                <wp:effectExtent l="0" t="0" r="0" b="0"/>
                <wp:wrapNone/>
                <wp:docPr id="314" name="Frame401"/>
                <a:graphic xmlns:a="http://schemas.openxmlformats.org/drawingml/2006/main">
                  <a:graphicData uri="http://schemas.microsoft.com/office/word/2010/wordprocessingShape">
                    <wps:wsp>
                      <wps:cNvSpPr txBox="1"/>
                      <wps:spPr>
                        <a:xfrm>
                          <a:off x="0" y="0"/>
                          <a:ext cx="358584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This Amendment shall be interpreted and construed in</w:t>
                            </w:r>
                          </w:p>
                        </w:txbxContent>
                      </wps:txbx>
                      <wps:bodyPr anchor="t" lIns="0" tIns="0" rIns="0" bIns="0">
                        <a:noAutofit/>
                      </wps:bodyPr>
                    </wps:wsp>
                  </a:graphicData>
                </a:graphic>
              </wp:anchor>
            </w:drawing>
          </mc:Choice>
          <mc:Fallback>
            <w:pict>
              <v:rect style="position:absolute;rotation:-0;width:282.35pt;height:13.8pt;mso-wrap-distance-left:0pt;mso-wrap-distance-right:0pt;mso-wrap-distance-top:0pt;mso-wrap-distance-bottom:0pt;margin-top:0pt;mso-position-vertical:top;mso-position-vertical-relative:text;margin-left:257.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This Amendment shall be interpreted and construed in</w:t>
                      </w:r>
                    </w:p>
                  </w:txbxContent>
                </v:textbox>
                <w10:wrap type="none"/>
              </v:rect>
            </w:pict>
          </mc:Fallback>
        </mc:AlternateContent>
      </w:r>
      <w:r>
        <mc:AlternateContent>
          <mc:Choice Requires="wps">
            <w:drawing>
              <wp:anchor behindDoc="0" distT="0" distB="0" distL="0" distR="0" simplePos="0" locked="0" layoutInCell="1" allowOverlap="1" relativeHeight="441">
                <wp:simplePos x="0" y="0"/>
                <wp:positionH relativeFrom="page">
                  <wp:posOffset>6857365</wp:posOffset>
                </wp:positionH>
                <wp:positionV relativeFrom="line">
                  <wp:posOffset>635</wp:posOffset>
                </wp:positionV>
                <wp:extent cx="38100" cy="175260"/>
                <wp:effectExtent l="0" t="0" r="0" b="0"/>
                <wp:wrapNone/>
                <wp:docPr id="315" name="Frame40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42">
                <wp:simplePos x="0" y="0"/>
                <wp:positionH relativeFrom="page">
                  <wp:posOffset>2286000</wp:posOffset>
                </wp:positionH>
                <wp:positionV relativeFrom="line">
                  <wp:posOffset>635</wp:posOffset>
                </wp:positionV>
                <wp:extent cx="4571365" cy="175260"/>
                <wp:effectExtent l="0" t="0" r="0" b="0"/>
                <wp:wrapNone/>
                <wp:docPr id="316" name="Frame403"/>
                <a:graphic xmlns:a="http://schemas.openxmlformats.org/drawingml/2006/main">
                  <a:graphicData uri="http://schemas.microsoft.com/office/word/2010/wordprocessingShape">
                    <wps:wsp>
                      <wps:cNvSpPr txBox="1"/>
                      <wps:spPr>
                        <a:xfrm>
                          <a:off x="0" y="0"/>
                          <a:ext cx="45713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accordance with the laws of the State of New York, without giving effect</w:t>
                            </w:r>
                          </w:p>
                        </w:txbxContent>
                      </wps:txbx>
                      <wps:bodyPr anchor="t" lIns="0" tIns="0" rIns="0" bIns="0">
                        <a:noAutofit/>
                      </wps:bodyPr>
                    </wps:wsp>
                  </a:graphicData>
                </a:graphic>
              </wp:anchor>
            </w:drawing>
          </mc:Choice>
          <mc:Fallback>
            <w:pict>
              <v:rect style="position:absolute;rotation:-0;width:359.95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accordance with the laws of the State of New York, without giving effect</w:t>
                      </w:r>
                    </w:p>
                  </w:txbxContent>
                </v:textbox>
                <w10:wrap type="none"/>
              </v:rect>
            </w:pict>
          </mc:Fallback>
        </mc:AlternateContent>
      </w:r>
      <w:r>
        <mc:AlternateContent>
          <mc:Choice Requires="wps">
            <w:drawing>
              <wp:anchor behindDoc="0" distT="0" distB="0" distL="0" distR="0" simplePos="0" locked="0" layoutInCell="1" allowOverlap="1" relativeHeight="443">
                <wp:simplePos x="0" y="0"/>
                <wp:positionH relativeFrom="page">
                  <wp:posOffset>6857365</wp:posOffset>
                </wp:positionH>
                <wp:positionV relativeFrom="line">
                  <wp:posOffset>635</wp:posOffset>
                </wp:positionV>
                <wp:extent cx="38100" cy="175260"/>
                <wp:effectExtent l="0" t="0" r="0" b="0"/>
                <wp:wrapNone/>
                <wp:docPr id="317" name="Frame40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44">
                <wp:simplePos x="0" y="0"/>
                <wp:positionH relativeFrom="page">
                  <wp:posOffset>2286000</wp:posOffset>
                </wp:positionH>
                <wp:positionV relativeFrom="line">
                  <wp:posOffset>635</wp:posOffset>
                </wp:positionV>
                <wp:extent cx="4554220" cy="350520"/>
                <wp:effectExtent l="0" t="0" r="0" b="0"/>
                <wp:wrapNone/>
                <wp:docPr id="318" name="Frame405"/>
                <a:graphic xmlns:a="http://schemas.openxmlformats.org/drawingml/2006/main">
                  <a:graphicData uri="http://schemas.microsoft.com/office/word/2010/wordprocessingShape">
                    <wps:wsp>
                      <wps:cNvSpPr txBox="1"/>
                      <wps:spPr>
                        <a:xfrm>
                          <a:off x="0" y="0"/>
                          <a:ext cx="455422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to the rules, policies, or principles thereof with respect to conflicts of laws.</w:t>
                            </w:r>
                          </w:p>
                        </w:txbxContent>
                      </wps:txbx>
                      <wps:bodyPr anchor="t" lIns="0" tIns="0" rIns="0" bIns="0">
                        <a:noAutofit/>
                      </wps:bodyPr>
                    </wps:wsp>
                  </a:graphicData>
                </a:graphic>
              </wp:anchor>
            </w:drawing>
          </mc:Choice>
          <mc:Fallback>
            <w:pict>
              <v:rect style="position:absolute;rotation:-0;width:358.6pt;height:27.6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to the rules, policies, or principles thereof with respect to conflicts of laws.</w:t>
                      </w:r>
                    </w:p>
                  </w:txbxContent>
                </v:textbox>
                <w10:wrap type="none"/>
              </v:rect>
            </w:pict>
          </mc:Fallback>
        </mc:AlternateContent>
      </w:r>
      <w:r>
        <mc:AlternateContent>
          <mc:Choice Requires="wps">
            <w:drawing>
              <wp:anchor behindDoc="0" distT="0" distB="0" distL="0" distR="0" simplePos="0" locked="0" layoutInCell="1" allowOverlap="1" relativeHeight="417">
                <wp:simplePos x="0" y="0"/>
                <wp:positionH relativeFrom="page">
                  <wp:posOffset>6857365</wp:posOffset>
                </wp:positionH>
                <wp:positionV relativeFrom="line">
                  <wp:posOffset>635</wp:posOffset>
                </wp:positionV>
                <wp:extent cx="38100" cy="175260"/>
                <wp:effectExtent l="0" t="0" r="0" b="0"/>
                <wp:wrapNone/>
                <wp:docPr id="319" name="Frame37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8">
                <wp:simplePos x="0" y="0"/>
                <wp:positionH relativeFrom="page">
                  <wp:posOffset>2286000</wp:posOffset>
                </wp:positionH>
                <wp:positionV relativeFrom="line">
                  <wp:posOffset>635</wp:posOffset>
                </wp:positionV>
                <wp:extent cx="4571365" cy="175260"/>
                <wp:effectExtent l="0" t="0" r="0" b="0"/>
                <wp:wrapNone/>
                <wp:docPr id="320" name="Frame369"/>
                <a:graphic xmlns:a="http://schemas.openxmlformats.org/drawingml/2006/main">
                  <a:graphicData uri="http://schemas.microsoft.com/office/word/2010/wordprocessingShape">
                    <wps:wsp>
                      <wps:cNvSpPr txBox="1"/>
                      <wps:spPr>
                        <a:xfrm>
                          <a:off x="0" y="0"/>
                          <a:ext cx="45713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legal effect, and admissibility in evidence as an original manual signature.</w:t>
                            </w:r>
                          </w:p>
                        </w:txbxContent>
                      </wps:txbx>
                      <wps:bodyPr anchor="t" lIns="0" tIns="0" rIns="0" bIns="0">
                        <a:noAutofit/>
                      </wps:bodyPr>
                    </wps:wsp>
                  </a:graphicData>
                </a:graphic>
              </wp:anchor>
            </w:drawing>
          </mc:Choice>
          <mc:Fallback>
            <w:pict>
              <v:rect style="position:absolute;rotation:-0;width:359.95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legal effect, and admissibility in evidence as an original manual signature.</w:t>
                      </w:r>
                    </w:p>
                  </w:txbxContent>
                </v:textbox>
                <w10:wrap type="none"/>
              </v:rect>
            </w:pict>
          </mc:Fallback>
        </mc:AlternateContent>
      </w:r>
      <w:r>
        <mc:AlternateContent>
          <mc:Choice Requires="wps">
            <w:drawing>
              <wp:anchor behindDoc="0" distT="0" distB="0" distL="0" distR="0" simplePos="0" locked="0" layoutInCell="1" allowOverlap="1" relativeHeight="409">
                <wp:simplePos x="0" y="0"/>
                <wp:positionH relativeFrom="page">
                  <wp:posOffset>6857365</wp:posOffset>
                </wp:positionH>
                <wp:positionV relativeFrom="line">
                  <wp:posOffset>635</wp:posOffset>
                </wp:positionV>
                <wp:extent cx="38100" cy="175260"/>
                <wp:effectExtent l="0" t="0" r="0" b="0"/>
                <wp:wrapNone/>
                <wp:docPr id="321" name="Frame37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10">
                <wp:simplePos x="0" y="0"/>
                <wp:positionH relativeFrom="page">
                  <wp:posOffset>2286000</wp:posOffset>
                </wp:positionH>
                <wp:positionV relativeFrom="line">
                  <wp:posOffset>635</wp:posOffset>
                </wp:positionV>
                <wp:extent cx="4570730" cy="175260"/>
                <wp:effectExtent l="0" t="0" r="0" b="0"/>
                <wp:wrapNone/>
                <wp:docPr id="322" name="Frame371"/>
                <a:graphic xmlns:a="http://schemas.openxmlformats.org/drawingml/2006/main">
                  <a:graphicData uri="http://schemas.microsoft.com/office/word/2010/wordprocessingShape">
                    <wps:wsp>
                      <wps:cNvSpPr txBox="1"/>
                      <wps:spPr>
                        <a:xfrm>
                          <a:off x="0" y="0"/>
                          <a:ext cx="45707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Each party hereto shall be entitled to conclusively rely upon, and shall</w:t>
                            </w:r>
                          </w:p>
                        </w:txbxContent>
                      </wps:txbx>
                      <wps:bodyPr anchor="t" lIns="0" tIns="0" rIns="0" bIns="0">
                        <a:noAutofit/>
                      </wps:bodyPr>
                    </wps:wsp>
                  </a:graphicData>
                </a:graphic>
              </wp:anchor>
            </w:drawing>
          </mc:Choice>
          <mc:Fallback>
            <w:pict>
              <v:rect style="position:absolute;rotation:-0;width:359.9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Each party hereto shall be entitled to conclusively rely upon, and shall</w:t>
                      </w:r>
                    </w:p>
                  </w:txbxContent>
                </v:textbox>
                <w10:wrap type="none"/>
              </v:rect>
            </w:pict>
          </mc:Fallback>
        </mc:AlternateContent>
      </w:r>
      <w:r>
        <mc:AlternateContent>
          <mc:Choice Requires="wps">
            <w:drawing>
              <wp:anchor behindDoc="0" distT="0" distB="0" distL="0" distR="0" simplePos="0" locked="0" layoutInCell="1" allowOverlap="1" relativeHeight="411">
                <wp:simplePos x="0" y="0"/>
                <wp:positionH relativeFrom="page">
                  <wp:posOffset>6856730</wp:posOffset>
                </wp:positionH>
                <wp:positionV relativeFrom="line">
                  <wp:posOffset>635</wp:posOffset>
                </wp:positionV>
                <wp:extent cx="38100" cy="175260"/>
                <wp:effectExtent l="0" t="0" r="0" b="0"/>
                <wp:wrapNone/>
                <wp:docPr id="323" name="Frame37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12">
                <wp:simplePos x="0" y="0"/>
                <wp:positionH relativeFrom="page">
                  <wp:posOffset>2286000</wp:posOffset>
                </wp:positionH>
                <wp:positionV relativeFrom="line">
                  <wp:posOffset>635</wp:posOffset>
                </wp:positionV>
                <wp:extent cx="4572000" cy="175260"/>
                <wp:effectExtent l="0" t="0" r="0" b="0"/>
                <wp:wrapNone/>
                <wp:docPr id="324" name="Frame373"/>
                <a:graphic xmlns:a="http://schemas.openxmlformats.org/drawingml/2006/main">
                  <a:graphicData uri="http://schemas.microsoft.com/office/word/2010/wordprocessingShape">
                    <wps:wsp>
                      <wps:cNvSpPr txBox="1"/>
                      <wps:spPr>
                        <a:xfrm>
                          <a:off x="0" y="0"/>
                          <a:ext cx="45720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have no liability with respect to, any faxed, scanned, or photocopied</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have no liability with respect to, any faxed, scanned, or photocopied</w:t>
                      </w:r>
                    </w:p>
                  </w:txbxContent>
                </v:textbox>
                <w10:wrap type="none"/>
              </v:rect>
            </w:pict>
          </mc:Fallback>
        </mc:AlternateContent>
      </w:r>
      <w:r>
        <mc:AlternateContent>
          <mc:Choice Requires="wps">
            <w:drawing>
              <wp:anchor behindDoc="0" distT="0" distB="0" distL="0" distR="0" simplePos="0" locked="0" layoutInCell="1" allowOverlap="1" relativeHeight="413">
                <wp:simplePos x="0" y="0"/>
                <wp:positionH relativeFrom="page">
                  <wp:posOffset>6858000</wp:posOffset>
                </wp:positionH>
                <wp:positionV relativeFrom="line">
                  <wp:posOffset>635</wp:posOffset>
                </wp:positionV>
                <wp:extent cx="38100" cy="175260"/>
                <wp:effectExtent l="0" t="0" r="0" b="0"/>
                <wp:wrapNone/>
                <wp:docPr id="325" name="Frame37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14">
                <wp:simplePos x="0" y="0"/>
                <wp:positionH relativeFrom="page">
                  <wp:posOffset>2286000</wp:posOffset>
                </wp:positionH>
                <wp:positionV relativeFrom="line">
                  <wp:posOffset>635</wp:posOffset>
                </wp:positionV>
                <wp:extent cx="4572000" cy="175260"/>
                <wp:effectExtent l="0" t="0" r="0" b="0"/>
                <wp:wrapNone/>
                <wp:docPr id="326" name="Frame375"/>
                <a:graphic xmlns:a="http://schemas.openxmlformats.org/drawingml/2006/main">
                  <a:graphicData uri="http://schemas.microsoft.com/office/word/2010/wordprocessingShape">
                    <wps:wsp>
                      <wps:cNvSpPr txBox="1"/>
                      <wps:spPr>
                        <a:xfrm>
                          <a:off x="0" y="0"/>
                          <a:ext cx="45720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manual signature, or other electronic signature, of any other party and</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manual signature, or other electronic signature, of any other party and</w:t>
                      </w:r>
                    </w:p>
                  </w:txbxContent>
                </v:textbox>
                <w10:wrap type="none"/>
              </v:rect>
            </w:pict>
          </mc:Fallback>
        </mc:AlternateContent>
      </w:r>
      <w:r>
        <mc:AlternateContent>
          <mc:Choice Requires="wps">
            <w:drawing>
              <wp:anchor behindDoc="0" distT="0" distB="0" distL="0" distR="0" simplePos="0" locked="0" layoutInCell="1" allowOverlap="1" relativeHeight="415">
                <wp:simplePos x="0" y="0"/>
                <wp:positionH relativeFrom="page">
                  <wp:posOffset>6858000</wp:posOffset>
                </wp:positionH>
                <wp:positionV relativeFrom="line">
                  <wp:posOffset>635</wp:posOffset>
                </wp:positionV>
                <wp:extent cx="38100" cy="175260"/>
                <wp:effectExtent l="0" t="0" r="0" b="0"/>
                <wp:wrapNone/>
                <wp:docPr id="327" name="Frame37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16">
                <wp:simplePos x="0" y="0"/>
                <wp:positionH relativeFrom="page">
                  <wp:posOffset>2286000</wp:posOffset>
                </wp:positionH>
                <wp:positionV relativeFrom="line">
                  <wp:posOffset>635</wp:posOffset>
                </wp:positionV>
                <wp:extent cx="4571365" cy="175260"/>
                <wp:effectExtent l="0" t="0" r="0" b="0"/>
                <wp:wrapNone/>
                <wp:docPr id="328" name="Frame377"/>
                <a:graphic xmlns:a="http://schemas.openxmlformats.org/drawingml/2006/main">
                  <a:graphicData uri="http://schemas.microsoft.com/office/word/2010/wordprocessingShape">
                    <wps:wsp>
                      <wps:cNvSpPr txBox="1"/>
                      <wps:spPr>
                        <a:xfrm>
                          <a:off x="0" y="0"/>
                          <a:ext cx="45713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shall have no duty to investigate, confirm or otherwise verify the validity</w:t>
                            </w:r>
                          </w:p>
                        </w:txbxContent>
                      </wps:txbx>
                      <wps:bodyPr anchor="t" lIns="0" tIns="0" rIns="0" bIns="0">
                        <a:noAutofit/>
                      </wps:bodyPr>
                    </wps:wsp>
                  </a:graphicData>
                </a:graphic>
              </wp:anchor>
            </w:drawing>
          </mc:Choice>
          <mc:Fallback>
            <w:pict>
              <v:rect style="position:absolute;rotation:-0;width:359.95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shall have no duty to investigate, confirm or otherwise verify the validity</w:t>
                      </w:r>
                    </w:p>
                  </w:txbxContent>
                </v:textbox>
                <w10:wrap type="none"/>
              </v:rect>
            </w:pict>
          </mc:Fallback>
        </mc:AlternateContent>
      </w:r>
      <w:r>
        <mc:AlternateContent>
          <mc:Choice Requires="wps">
            <w:drawing>
              <wp:anchor behindDoc="0" distT="0" distB="0" distL="0" distR="0" simplePos="0" locked="0" layoutInCell="1" allowOverlap="1" relativeHeight="369">
                <wp:simplePos x="0" y="0"/>
                <wp:positionH relativeFrom="page">
                  <wp:posOffset>6857365</wp:posOffset>
                </wp:positionH>
                <wp:positionV relativeFrom="line">
                  <wp:posOffset>635</wp:posOffset>
                </wp:positionV>
                <wp:extent cx="38100" cy="175260"/>
                <wp:effectExtent l="0" t="0" r="0" b="0"/>
                <wp:wrapNone/>
                <wp:docPr id="329" name="Frame33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18">
                <wp:simplePos x="0" y="0"/>
                <wp:positionH relativeFrom="page">
                  <wp:posOffset>2286000</wp:posOffset>
                </wp:positionH>
                <wp:positionV relativeFrom="line">
                  <wp:posOffset>635</wp:posOffset>
                </wp:positionV>
                <wp:extent cx="4571365" cy="175260"/>
                <wp:effectExtent l="0" t="0" r="0" b="0"/>
                <wp:wrapNone/>
                <wp:docPr id="330" name="Frame379"/>
                <a:graphic xmlns:a="http://schemas.openxmlformats.org/drawingml/2006/main">
                  <a:graphicData uri="http://schemas.microsoft.com/office/word/2010/wordprocessingShape">
                    <wps:wsp>
                      <wps:cNvSpPr txBox="1"/>
                      <wps:spPr>
                        <a:xfrm>
                          <a:off x="0" y="0"/>
                          <a:ext cx="45713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or authenticity thereof. This Amendment may be executed in any number</w:t>
                            </w:r>
                          </w:p>
                        </w:txbxContent>
                      </wps:txbx>
                      <wps:bodyPr anchor="t" lIns="0" tIns="0" rIns="0" bIns="0">
                        <a:noAutofit/>
                      </wps:bodyPr>
                    </wps:wsp>
                  </a:graphicData>
                </a:graphic>
              </wp:anchor>
            </w:drawing>
          </mc:Choice>
          <mc:Fallback>
            <w:pict>
              <v:rect style="position:absolute;rotation:-0;width:359.95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or authenticity thereof. This Amendment may be executed in any number</w:t>
                      </w:r>
                    </w:p>
                  </w:txbxContent>
                </v:textbox>
                <w10:wrap type="none"/>
              </v:rect>
            </w:pict>
          </mc:Fallback>
        </mc:AlternateContent>
      </w:r>
      <w:r>
        <mc:AlternateContent>
          <mc:Choice Requires="wps">
            <w:drawing>
              <wp:anchor behindDoc="0" distT="0" distB="0" distL="0" distR="0" simplePos="0" locked="0" layoutInCell="1" allowOverlap="1" relativeHeight="419">
                <wp:simplePos x="0" y="0"/>
                <wp:positionH relativeFrom="page">
                  <wp:posOffset>6857365</wp:posOffset>
                </wp:positionH>
                <wp:positionV relativeFrom="line">
                  <wp:posOffset>635</wp:posOffset>
                </wp:positionV>
                <wp:extent cx="38100" cy="175260"/>
                <wp:effectExtent l="0" t="0" r="0" b="0"/>
                <wp:wrapNone/>
                <wp:docPr id="331" name="Frame38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0">
                <wp:simplePos x="0" y="0"/>
                <wp:positionH relativeFrom="page">
                  <wp:posOffset>2286000</wp:posOffset>
                </wp:positionH>
                <wp:positionV relativeFrom="line">
                  <wp:posOffset>635</wp:posOffset>
                </wp:positionV>
                <wp:extent cx="4571365" cy="175260"/>
                <wp:effectExtent l="0" t="0" r="0" b="0"/>
                <wp:wrapNone/>
                <wp:docPr id="332" name="Frame381"/>
                <a:graphic xmlns:a="http://schemas.openxmlformats.org/drawingml/2006/main">
                  <a:graphicData uri="http://schemas.microsoft.com/office/word/2010/wordprocessingShape">
                    <wps:wsp>
                      <wps:cNvSpPr txBox="1"/>
                      <wps:spPr>
                        <a:xfrm>
                          <a:off x="0" y="0"/>
                          <a:ext cx="45713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counterparts and by different parties hereto in separate counterparts,</w:t>
                            </w:r>
                          </w:p>
                        </w:txbxContent>
                      </wps:txbx>
                      <wps:bodyPr anchor="t" lIns="0" tIns="0" rIns="0" bIns="0">
                        <a:noAutofit/>
                      </wps:bodyPr>
                    </wps:wsp>
                  </a:graphicData>
                </a:graphic>
              </wp:anchor>
            </w:drawing>
          </mc:Choice>
          <mc:Fallback>
            <w:pict>
              <v:rect style="position:absolute;rotation:-0;width:359.95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of counterparts and by different parties hereto in separate counterparts,</w:t>
                      </w:r>
                    </w:p>
                  </w:txbxContent>
                </v:textbox>
                <w10:wrap type="none"/>
              </v:rect>
            </w:pict>
          </mc:Fallback>
        </mc:AlternateContent>
      </w:r>
      <w:r>
        <mc:AlternateContent>
          <mc:Choice Requires="wps">
            <w:drawing>
              <wp:anchor behindDoc="0" distT="0" distB="0" distL="0" distR="0" simplePos="0" locked="0" layoutInCell="1" allowOverlap="1" relativeHeight="421">
                <wp:simplePos x="0" y="0"/>
                <wp:positionH relativeFrom="page">
                  <wp:posOffset>6857365</wp:posOffset>
                </wp:positionH>
                <wp:positionV relativeFrom="line">
                  <wp:posOffset>635</wp:posOffset>
                </wp:positionV>
                <wp:extent cx="38100" cy="175260"/>
                <wp:effectExtent l="0" t="0" r="0" b="0"/>
                <wp:wrapNone/>
                <wp:docPr id="333" name="Frame38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2">
                <wp:simplePos x="0" y="0"/>
                <wp:positionH relativeFrom="page">
                  <wp:posOffset>2286000</wp:posOffset>
                </wp:positionH>
                <wp:positionV relativeFrom="line">
                  <wp:posOffset>635</wp:posOffset>
                </wp:positionV>
                <wp:extent cx="4572000" cy="175260"/>
                <wp:effectExtent l="0" t="0" r="0" b="0"/>
                <wp:wrapNone/>
                <wp:docPr id="334" name="Frame383"/>
                <a:graphic xmlns:a="http://schemas.openxmlformats.org/drawingml/2006/main">
                  <a:graphicData uri="http://schemas.microsoft.com/office/word/2010/wordprocessingShape">
                    <wps:wsp>
                      <wps:cNvSpPr txBox="1"/>
                      <wps:spPr>
                        <a:xfrm>
                          <a:off x="0" y="0"/>
                          <a:ext cx="45720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each of which when so executed and delivered shall be deemed to be an</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each of which when so executed and delivered shall be deemed to be an</w:t>
                      </w:r>
                    </w:p>
                  </w:txbxContent>
                </v:textbox>
                <w10:wrap type="none"/>
              </v:rect>
            </w:pict>
          </mc:Fallback>
        </mc:AlternateContent>
      </w:r>
      <w:r>
        <mc:AlternateContent>
          <mc:Choice Requires="wps">
            <w:drawing>
              <wp:anchor behindDoc="0" distT="0" distB="0" distL="0" distR="0" simplePos="0" locked="0" layoutInCell="1" allowOverlap="1" relativeHeight="423">
                <wp:simplePos x="0" y="0"/>
                <wp:positionH relativeFrom="page">
                  <wp:posOffset>6858000</wp:posOffset>
                </wp:positionH>
                <wp:positionV relativeFrom="line">
                  <wp:posOffset>635</wp:posOffset>
                </wp:positionV>
                <wp:extent cx="38100" cy="175260"/>
                <wp:effectExtent l="0" t="0" r="0" b="0"/>
                <wp:wrapNone/>
                <wp:docPr id="335" name="Frame38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4">
                <wp:simplePos x="0" y="0"/>
                <wp:positionH relativeFrom="page">
                  <wp:posOffset>2286000</wp:posOffset>
                </wp:positionH>
                <wp:positionV relativeFrom="line">
                  <wp:posOffset>635</wp:posOffset>
                </wp:positionV>
                <wp:extent cx="4572000" cy="175260"/>
                <wp:effectExtent l="0" t="0" r="0" b="0"/>
                <wp:wrapNone/>
                <wp:docPr id="336" name="Frame385"/>
                <a:graphic xmlns:a="http://schemas.openxmlformats.org/drawingml/2006/main">
                  <a:graphicData uri="http://schemas.microsoft.com/office/word/2010/wordprocessingShape">
                    <wps:wsp>
                      <wps:cNvSpPr txBox="1"/>
                      <wps:spPr>
                        <a:xfrm>
                          <a:off x="0" y="0"/>
                          <a:ext cx="45720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original and all of which taken together shall constitute but one and the</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original and all of which taken together shall constitute but one and the</w:t>
                      </w:r>
                    </w:p>
                  </w:txbxContent>
                </v:textbox>
                <w10:wrap type="none"/>
              </v:rect>
            </w:pict>
          </mc:Fallback>
        </mc:AlternateContent>
      </w:r>
      <w:r>
        <mc:AlternateContent>
          <mc:Choice Requires="wps">
            <w:drawing>
              <wp:anchor behindDoc="0" distT="0" distB="0" distL="0" distR="0" simplePos="0" locked="0" layoutInCell="1" allowOverlap="1" relativeHeight="425">
                <wp:simplePos x="0" y="0"/>
                <wp:positionH relativeFrom="page">
                  <wp:posOffset>6858000</wp:posOffset>
                </wp:positionH>
                <wp:positionV relativeFrom="line">
                  <wp:posOffset>635</wp:posOffset>
                </wp:positionV>
                <wp:extent cx="38100" cy="175260"/>
                <wp:effectExtent l="0" t="0" r="0" b="0"/>
                <wp:wrapNone/>
                <wp:docPr id="337" name="Frame38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2">
                <wp:simplePos x="0" y="0"/>
                <wp:positionH relativeFrom="page">
                  <wp:posOffset>914400</wp:posOffset>
                </wp:positionH>
                <wp:positionV relativeFrom="line">
                  <wp:posOffset>635</wp:posOffset>
                </wp:positionV>
                <wp:extent cx="3024505" cy="175260"/>
                <wp:effectExtent l="0" t="0" r="0" b="0"/>
                <wp:wrapNone/>
                <wp:docPr id="338" name="Frame283"/>
                <a:graphic xmlns:a="http://schemas.openxmlformats.org/drawingml/2006/main">
                  <a:graphicData uri="http://schemas.microsoft.com/office/word/2010/wordprocessingShape">
                    <wps:wsp>
                      <wps:cNvSpPr txBox="1"/>
                      <wps:spPr>
                        <a:xfrm>
                          <a:off x="0" y="0"/>
                          <a:ext cx="302450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have been established in accordance with GAAP</w:t>
                            </w:r>
                          </w:p>
                        </w:txbxContent>
                      </wps:txbx>
                      <wps:bodyPr anchor="t" lIns="0" tIns="0" rIns="0" bIns="0">
                        <a:noAutofit/>
                      </wps:bodyPr>
                    </wps:wsp>
                  </a:graphicData>
                </a:graphic>
              </wp:anchor>
            </w:drawing>
          </mc:Choice>
          <mc:Fallback>
            <w:pict>
              <v:rect style="position:absolute;rotation:-0;width:238.1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have been established in accordance with GAAP</w:t>
                      </w:r>
                    </w:p>
                  </w:txbxContent>
                </v:textbox>
                <w10:wrap type="none"/>
              </v:rect>
            </w:pict>
          </mc:Fallback>
        </mc:AlternateContent>
      </w:r>
      <w:r>
        <mc:AlternateContent>
          <mc:Choice Requires="wps">
            <w:drawing>
              <wp:anchor behindDoc="0" distT="0" distB="0" distL="0" distR="0" simplePos="0" locked="0" layoutInCell="1" allowOverlap="1" relativeHeight="313">
                <wp:simplePos x="0" y="0"/>
                <wp:positionH relativeFrom="page">
                  <wp:posOffset>6857365</wp:posOffset>
                </wp:positionH>
                <wp:positionV relativeFrom="line">
                  <wp:posOffset>635</wp:posOffset>
                </wp:positionV>
                <wp:extent cx="38100" cy="175260"/>
                <wp:effectExtent l="0" t="0" r="0" b="0"/>
                <wp:wrapNone/>
                <wp:docPr id="339" name="Frame27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14">
                <wp:simplePos x="0" y="0"/>
                <wp:positionH relativeFrom="page">
                  <wp:posOffset>914400</wp:posOffset>
                </wp:positionH>
                <wp:positionV relativeFrom="line">
                  <wp:posOffset>635</wp:posOffset>
                </wp:positionV>
                <wp:extent cx="5942330" cy="175260"/>
                <wp:effectExtent l="0" t="0" r="0" b="0"/>
                <wp:wrapNone/>
                <wp:docPr id="340" name="Frame275"/>
                <a:graphic xmlns:a="http://schemas.openxmlformats.org/drawingml/2006/main">
                  <a:graphicData uri="http://schemas.microsoft.com/office/word/2010/wordprocessingShape">
                    <wps:wsp>
                      <wps:cNvSpPr txBox="1"/>
                      <wps:spPr>
                        <a:xfrm>
                          <a:off x="0" y="0"/>
                          <a:ext cx="59423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 favor of the Lender, (b) any right of the Account Institution in respect of the Collection</w:t>
                            </w:r>
                          </w:p>
                        </w:txbxContent>
                      </wps:txbx>
                      <wps:bodyPr anchor="t" lIns="0" tIns="0" rIns="0" bIns="0">
                        <a:noAutofit/>
                      </wps:bodyPr>
                    </wps:wsp>
                  </a:graphicData>
                </a:graphic>
              </wp:anchor>
            </w:drawing>
          </mc:Choice>
          <mc:Fallback>
            <w:pict>
              <v:rect style="position:absolute;rotation:-0;width:467.9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 favor of the Lender, (b) any right of the Account Institution in respect of the Collection</w:t>
                      </w:r>
                    </w:p>
                  </w:txbxContent>
                </v:textbox>
                <w10:wrap type="none"/>
              </v:rect>
            </w:pict>
          </mc:Fallback>
        </mc:AlternateContent>
      </w:r>
      <w:r>
        <mc:AlternateContent>
          <mc:Choice Requires="wps">
            <w:drawing>
              <wp:anchor behindDoc="0" distT="0" distB="0" distL="0" distR="0" simplePos="0" locked="0" layoutInCell="1" allowOverlap="1" relativeHeight="315">
                <wp:simplePos x="0" y="0"/>
                <wp:positionH relativeFrom="page">
                  <wp:posOffset>6856730</wp:posOffset>
                </wp:positionH>
                <wp:positionV relativeFrom="line">
                  <wp:posOffset>635</wp:posOffset>
                </wp:positionV>
                <wp:extent cx="38100" cy="175260"/>
                <wp:effectExtent l="0" t="0" r="0" b="0"/>
                <wp:wrapNone/>
                <wp:docPr id="341" name="Frame27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16">
                <wp:simplePos x="0" y="0"/>
                <wp:positionH relativeFrom="page">
                  <wp:posOffset>914400</wp:posOffset>
                </wp:positionH>
                <wp:positionV relativeFrom="line">
                  <wp:posOffset>635</wp:posOffset>
                </wp:positionV>
                <wp:extent cx="4050665" cy="175260"/>
                <wp:effectExtent l="0" t="0" r="0" b="0"/>
                <wp:wrapNone/>
                <wp:docPr id="342" name="Frame277"/>
                <a:graphic xmlns:a="http://schemas.openxmlformats.org/drawingml/2006/main">
                  <a:graphicData uri="http://schemas.microsoft.com/office/word/2010/wordprocessingShape">
                    <wps:wsp>
                      <wps:cNvSpPr txBox="1"/>
                      <wps:spPr>
                        <a:xfrm>
                          <a:off x="0" y="0"/>
                          <a:ext cx="40506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Account, subject to the terms of the Account Control Agreement,</w:t>
                            </w:r>
                          </w:p>
                        </w:txbxContent>
                      </wps:txbx>
                      <wps:bodyPr anchor="t" lIns="0" tIns="0" rIns="0" bIns="0">
                        <a:noAutofit/>
                      </wps:bodyPr>
                    </wps:wsp>
                  </a:graphicData>
                </a:graphic>
              </wp:anchor>
            </w:drawing>
          </mc:Choice>
          <mc:Fallback>
            <w:pict>
              <v:rect style="position:absolute;rotation:-0;width:318.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Account, subject to the terms of the Account Control Agreement,</w:t>
                      </w:r>
                    </w:p>
                  </w:txbxContent>
                </v:textbox>
                <w10:wrap type="none"/>
              </v:rect>
            </w:pict>
          </mc:Fallback>
        </mc:AlternateContent>
      </w:r>
      <w:r>
        <mc:AlternateContent>
          <mc:Choice Requires="wps">
            <w:drawing>
              <wp:anchor behindDoc="0" distT="0" distB="0" distL="0" distR="0" simplePos="0" locked="0" layoutInCell="1" allowOverlap="1" relativeHeight="317">
                <wp:simplePos x="0" y="0"/>
                <wp:positionH relativeFrom="page">
                  <wp:posOffset>4965065</wp:posOffset>
                </wp:positionH>
                <wp:positionV relativeFrom="line">
                  <wp:posOffset>635</wp:posOffset>
                </wp:positionV>
                <wp:extent cx="266065" cy="175260"/>
                <wp:effectExtent l="0" t="0" r="0" b="0"/>
                <wp:wrapNone/>
                <wp:docPr id="343" name="Frame278"/>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color w:val="FF0000"/>
                                <w:sz w:val="24"/>
                              </w:rPr>
                            </w:pPr>
                            <w:r>
                              <w:rPr>
                                <w:rFonts w:ascii="Times New Roman;serif" w:hAnsi="Times New Roman;serif"/>
                                <w:b w:val="false"/>
                                <w:i w:val="false"/>
                                <w:caps w:val="false"/>
                                <w:smallCaps w:val="false"/>
                                <w:strike/>
                                <w:color w:val="FF0000"/>
                                <w:sz w:val="24"/>
                              </w:rPr>
                              <w:t>and</w:t>
                            </w:r>
                          </w:p>
                        </w:txbxContent>
                      </wps:txbx>
                      <wps:bodyPr anchor="t" lIns="0" tIns="0" rIns="0" bIns="0">
                        <a:noAutofit/>
                      </wps:bodyPr>
                    </wps:wsp>
                  </a:graphicData>
                </a:graphic>
              </wp:anchor>
            </w:drawing>
          </mc:Choice>
          <mc:Fallback>
            <w:pict>
              <v:rect style="position:absolute;rotation:-0;width:20.95pt;height:13.8pt;mso-wrap-distance-left:0pt;mso-wrap-distance-right:0pt;mso-wrap-distance-top:0pt;mso-wrap-distance-bottom:0pt;margin-top:0pt;mso-position-vertical:top;mso-position-vertical-relative:text;margin-left:390.9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color w:val="FF0000"/>
                          <w:sz w:val="24"/>
                        </w:rPr>
                      </w:pPr>
                      <w:r>
                        <w:rPr>
                          <w:rFonts w:ascii="Times New Roman;serif" w:hAnsi="Times New Roman;serif"/>
                          <w:b w:val="false"/>
                          <w:i w:val="false"/>
                          <w:caps w:val="false"/>
                          <w:smallCaps w:val="false"/>
                          <w:strike/>
                          <w:color w:val="FF0000"/>
                          <w:sz w:val="24"/>
                        </w:rPr>
                        <w:t>and</w:t>
                      </w:r>
                    </w:p>
                  </w:txbxContent>
                </v:textbox>
                <w10:wrap type="none"/>
              </v:rect>
            </w:pict>
          </mc:Fallback>
        </mc:AlternateContent>
      </w:r>
      <w:r>
        <mc:AlternateContent>
          <mc:Choice Requires="wps">
            <w:drawing>
              <wp:anchor behindDoc="0" distT="0" distB="0" distL="0" distR="0" simplePos="0" locked="0" layoutInCell="1" allowOverlap="1" relativeHeight="318">
                <wp:simplePos x="0" y="0"/>
                <wp:positionH relativeFrom="page">
                  <wp:posOffset>5231130</wp:posOffset>
                </wp:positionH>
                <wp:positionV relativeFrom="line">
                  <wp:posOffset>635</wp:posOffset>
                </wp:positionV>
                <wp:extent cx="1625600" cy="175260"/>
                <wp:effectExtent l="0" t="0" r="0" b="0"/>
                <wp:wrapNone/>
                <wp:docPr id="344" name="Frame279"/>
                <a:graphic xmlns:a="http://schemas.openxmlformats.org/drawingml/2006/main">
                  <a:graphicData uri="http://schemas.microsoft.com/office/word/2010/wordprocessingShape">
                    <wps:wsp>
                      <wps:cNvSpPr txBox="1"/>
                      <wps:spPr>
                        <a:xfrm>
                          <a:off x="0" y="0"/>
                          <a:ext cx="16256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 Liens imposed by law</w:t>
                            </w:r>
                          </w:p>
                        </w:txbxContent>
                      </wps:txbx>
                      <wps:bodyPr anchor="t" lIns="0" tIns="0" rIns="0" bIns="0">
                        <a:noAutofit/>
                      </wps:bodyPr>
                    </wps:wsp>
                  </a:graphicData>
                </a:graphic>
              </wp:anchor>
            </w:drawing>
          </mc:Choice>
          <mc:Fallback>
            <w:pict>
              <v:rect style="position:absolute;rotation:-0;width:128pt;height:13.8pt;mso-wrap-distance-left:0pt;mso-wrap-distance-right:0pt;mso-wrap-distance-top:0pt;mso-wrap-distance-bottom:0pt;margin-top:0pt;mso-position-vertical:top;mso-position-vertical-relative:text;margin-left:411.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 Liens imposed by law</w:t>
                      </w:r>
                    </w:p>
                  </w:txbxContent>
                </v:textbox>
                <w10:wrap type="none"/>
              </v:rect>
            </w:pict>
          </mc:Fallback>
        </mc:AlternateContent>
      </w:r>
      <w:r>
        <mc:AlternateContent>
          <mc:Choice Requires="wps">
            <w:drawing>
              <wp:anchor behindDoc="0" distT="0" distB="0" distL="0" distR="0" simplePos="0" locked="0" layoutInCell="1" allowOverlap="1" relativeHeight="319">
                <wp:simplePos x="0" y="0"/>
                <wp:positionH relativeFrom="page">
                  <wp:posOffset>6856730</wp:posOffset>
                </wp:positionH>
                <wp:positionV relativeFrom="line">
                  <wp:posOffset>635</wp:posOffset>
                </wp:positionV>
                <wp:extent cx="38100" cy="175260"/>
                <wp:effectExtent l="0" t="0" r="0" b="0"/>
                <wp:wrapNone/>
                <wp:docPr id="345" name="Frame28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0">
                <wp:simplePos x="0" y="0"/>
                <wp:positionH relativeFrom="page">
                  <wp:posOffset>914400</wp:posOffset>
                </wp:positionH>
                <wp:positionV relativeFrom="line">
                  <wp:posOffset>635</wp:posOffset>
                </wp:positionV>
                <wp:extent cx="5941695" cy="175260"/>
                <wp:effectExtent l="0" t="0" r="0" b="0"/>
                <wp:wrapNone/>
                <wp:docPr id="346" name="Frame281"/>
                <a:graphic xmlns:a="http://schemas.openxmlformats.org/drawingml/2006/main">
                  <a:graphicData uri="http://schemas.microsoft.com/office/word/2010/wordprocessingShape">
                    <wps:wsp>
                      <wps:cNvSpPr txBox="1"/>
                      <wps:spPr>
                        <a:xfrm>
                          <a:off x="0" y="0"/>
                          <a:ext cx="594169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for Taxes that are not yet due or are being contested in good faith for which adequate reserves</w:t>
                            </w:r>
                          </w:p>
                        </w:txbxContent>
                      </wps:txbx>
                      <wps:bodyPr anchor="t" lIns="0" tIns="0" rIns="0" bIns="0">
                        <a:noAutofit/>
                      </wps:bodyPr>
                    </wps:wsp>
                  </a:graphicData>
                </a:graphic>
              </wp:anchor>
            </w:drawing>
          </mc:Choice>
          <mc:Fallback>
            <w:pict>
              <v:rect style="position:absolute;rotation:-0;width:467.8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for Taxes that are not yet due or are being contested in good faith for which adequate reserves</w:t>
                      </w:r>
                    </w:p>
                  </w:txbxContent>
                </v:textbox>
                <w10:wrap type="none"/>
              </v:rect>
            </w:pict>
          </mc:Fallback>
        </mc:AlternateContent>
      </w:r>
      <w:r>
        <mc:AlternateContent>
          <mc:Choice Requires="wps">
            <w:drawing>
              <wp:anchor behindDoc="0" distT="0" distB="0" distL="0" distR="0" simplePos="0" locked="0" layoutInCell="1" allowOverlap="1" relativeHeight="321">
                <wp:simplePos x="0" y="0"/>
                <wp:positionH relativeFrom="page">
                  <wp:posOffset>6856095</wp:posOffset>
                </wp:positionH>
                <wp:positionV relativeFrom="line">
                  <wp:posOffset>635</wp:posOffset>
                </wp:positionV>
                <wp:extent cx="38100" cy="175260"/>
                <wp:effectExtent l="0" t="0" r="0" b="0"/>
                <wp:wrapNone/>
                <wp:docPr id="347" name="Frame28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12">
                <wp:simplePos x="0" y="0"/>
                <wp:positionH relativeFrom="page">
                  <wp:posOffset>2356485</wp:posOffset>
                </wp:positionH>
                <wp:positionV relativeFrom="line">
                  <wp:posOffset>635</wp:posOffset>
                </wp:positionV>
                <wp:extent cx="4500880" cy="175260"/>
                <wp:effectExtent l="0" t="0" r="0" b="0"/>
                <wp:wrapNone/>
                <wp:docPr id="348" name="Frame273"/>
                <a:graphic xmlns:a="http://schemas.openxmlformats.org/drawingml/2006/main">
                  <a:graphicData uri="http://schemas.microsoft.com/office/word/2010/wordprocessingShape">
                    <wps:wsp>
                      <wps:cNvSpPr txBox="1"/>
                      <wps:spPr>
                        <a:xfrm>
                          <a:off x="0" y="0"/>
                          <a:ext cx="450088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means (a) Liens under the Transaction Documents or otherwise arising</w:t>
                            </w:r>
                          </w:p>
                        </w:txbxContent>
                      </wps:txbx>
                      <wps:bodyPr anchor="t" lIns="0" tIns="0" rIns="0" bIns="0">
                        <a:noAutofit/>
                      </wps:bodyPr>
                    </wps:wsp>
                  </a:graphicData>
                </a:graphic>
              </wp:anchor>
            </w:drawing>
          </mc:Choice>
          <mc:Fallback>
            <w:pict>
              <v:rect style="position:absolute;rotation:-0;width:354.4pt;height:13.8pt;mso-wrap-distance-left:0pt;mso-wrap-distance-right:0pt;mso-wrap-distance-top:0pt;mso-wrap-distance-bottom:0pt;margin-top:0pt;mso-position-vertical:top;mso-position-vertical-relative:text;margin-left:185.5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4"/>
                          <w:u w:val="none"/>
                          <w:effect w:val="none"/>
                        </w:rPr>
                        <w:t>means (a) Liens under the Transaction Documents or otherwise arising</w:t>
                      </w:r>
                    </w:p>
                  </w:txbxContent>
                </v:textbox>
                <w10:wrap type="none"/>
              </v:rect>
            </w:pict>
          </mc:Fallback>
        </mc:AlternateContent>
      </w:r>
      <w:r>
        <mc:AlternateContent>
          <mc:Choice Requires="wps">
            <w:drawing>
              <wp:anchor behindDoc="0" distT="0" distB="0" distL="0" distR="0" simplePos="0" locked="0" layoutInCell="1" allowOverlap="1" relativeHeight="323">
                <wp:simplePos x="0" y="0"/>
                <wp:positionH relativeFrom="page">
                  <wp:posOffset>3938905</wp:posOffset>
                </wp:positionH>
                <wp:positionV relativeFrom="line">
                  <wp:posOffset>635</wp:posOffset>
                </wp:positionV>
                <wp:extent cx="2919095" cy="175260"/>
                <wp:effectExtent l="0" t="0" r="0" b="0"/>
                <wp:wrapNone/>
                <wp:docPr id="349" name="Frame284"/>
                <a:graphic xmlns:a="http://schemas.openxmlformats.org/drawingml/2006/main">
                  <a:graphicData uri="http://schemas.microsoft.com/office/word/2010/wordprocessingShape">
                    <wps:wsp>
                      <wps:cNvSpPr txBox="1"/>
                      <wps:spPr>
                        <a:xfrm>
                          <a:off x="0" y="0"/>
                          <a:ext cx="291909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color w:val="21AEFF"/>
                                <w:sz w:val="24"/>
                                <w:u w:val="single"/>
                              </w:rPr>
                            </w:pPr>
                            <w:r>
                              <w:rPr>
                                <w:rFonts w:ascii="Times New Roman;serif" w:hAnsi="Times New Roman;serif"/>
                                <w:b w:val="false"/>
                                <w:i w:val="false"/>
                                <w:caps w:val="false"/>
                                <w:smallCaps w:val="false"/>
                                <w:color w:val="21AEFF"/>
                                <w:sz w:val="24"/>
                                <w:u w:val="single"/>
                              </w:rPr>
                              <w:t>, (d) Liens of WebBank, a Utah state-chartered</w:t>
                            </w:r>
                          </w:p>
                        </w:txbxContent>
                      </wps:txbx>
                      <wps:bodyPr anchor="t" lIns="0" tIns="0" rIns="0" bIns="0">
                        <a:noAutofit/>
                      </wps:bodyPr>
                    </wps:wsp>
                  </a:graphicData>
                </a:graphic>
              </wp:anchor>
            </w:drawing>
          </mc:Choice>
          <mc:Fallback>
            <w:pict>
              <v:rect style="position:absolute;rotation:-0;width:229.85pt;height:13.8pt;mso-wrap-distance-left:0pt;mso-wrap-distance-right:0pt;mso-wrap-distance-top:0pt;mso-wrap-distance-bottom:0pt;margin-top:0pt;mso-position-vertical:top;mso-position-vertical-relative:text;margin-left:310.15pt;mso-position-horizontal-relative:page">
                <v:textbox>
                  <w:txbxContent>
                    <w:p>
                      <w:pPr>
                        <w:pStyle w:val="TextBody"/>
                        <w:bidi w:val="0"/>
                        <w:spacing w:before="0" w:after="283"/>
                        <w:jc w:val="left"/>
                        <w:rPr>
                          <w:rFonts w:ascii="Times New Roman;serif" w:hAnsi="Times New Roman;serif"/>
                          <w:b w:val="false"/>
                          <w:i w:val="false"/>
                          <w:caps w:val="false"/>
                          <w:smallCaps w:val="false"/>
                          <w:color w:val="21AEFF"/>
                          <w:sz w:val="24"/>
                          <w:u w:val="single"/>
                        </w:rPr>
                      </w:pPr>
                      <w:r>
                        <w:rPr>
                          <w:rFonts w:ascii="Times New Roman;serif" w:hAnsi="Times New Roman;serif"/>
                          <w:b w:val="false"/>
                          <w:i w:val="false"/>
                          <w:caps w:val="false"/>
                          <w:smallCaps w:val="false"/>
                          <w:color w:val="21AEFF"/>
                          <w:sz w:val="24"/>
                          <w:u w:val="single"/>
                        </w:rPr>
                        <w:t>, (d) Liens of WebBank, a Utah state-chartered</w:t>
                      </w:r>
                    </w:p>
                  </w:txbxContent>
                </v:textbox>
                <w10:wrap type="none"/>
              </v:rect>
            </w:pict>
          </mc:Fallback>
        </mc:AlternateContent>
      </w:r>
      <w:r>
        <mc:AlternateContent>
          <mc:Choice Requires="wps">
            <w:drawing>
              <wp:anchor behindDoc="0" distT="0" distB="0" distL="0" distR="0" simplePos="0" locked="0" layoutInCell="1" allowOverlap="1" relativeHeight="324">
                <wp:simplePos x="0" y="0"/>
                <wp:positionH relativeFrom="page">
                  <wp:posOffset>6858000</wp:posOffset>
                </wp:positionH>
                <wp:positionV relativeFrom="line">
                  <wp:posOffset>635</wp:posOffset>
                </wp:positionV>
                <wp:extent cx="38100" cy="175260"/>
                <wp:effectExtent l="0" t="0" r="0" b="0"/>
                <wp:wrapNone/>
                <wp:docPr id="350" name="Frame28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5">
                <wp:simplePos x="0" y="0"/>
                <wp:positionH relativeFrom="page">
                  <wp:posOffset>914400</wp:posOffset>
                </wp:positionH>
                <wp:positionV relativeFrom="line">
                  <wp:posOffset>635</wp:posOffset>
                </wp:positionV>
                <wp:extent cx="5942965" cy="175260"/>
                <wp:effectExtent l="0" t="0" r="0" b="0"/>
                <wp:wrapNone/>
                <wp:docPr id="351" name="Frame286"/>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color w:val="21AEFF"/>
                                <w:sz w:val="24"/>
                                <w:u w:val="single"/>
                              </w:rPr>
                            </w:pPr>
                            <w:r>
                              <w:rPr>
                                <w:rFonts w:ascii="Times New Roman;serif" w:hAnsi="Times New Roman;serif"/>
                                <w:b w:val="false"/>
                                <w:i w:val="false"/>
                                <w:caps w:val="false"/>
                                <w:smallCaps w:val="false"/>
                                <w:color w:val="21AEFF"/>
                                <w:sz w:val="24"/>
                                <w:u w:val="single"/>
                              </w:rPr>
                              <w:t>bank, under the Related Documents to which WebBank is a party, securing WebBank’s right to</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color w:val="21AEFF"/>
                          <w:sz w:val="24"/>
                          <w:u w:val="single"/>
                        </w:rPr>
                      </w:pPr>
                      <w:r>
                        <w:rPr>
                          <w:rFonts w:ascii="Times New Roman;serif" w:hAnsi="Times New Roman;serif"/>
                          <w:b w:val="false"/>
                          <w:i w:val="false"/>
                          <w:caps w:val="false"/>
                          <w:smallCaps w:val="false"/>
                          <w:color w:val="21AEFF"/>
                          <w:sz w:val="24"/>
                          <w:u w:val="single"/>
                        </w:rPr>
                        <w:t>bank, under the Related Documents to which WebBank is a party, securing WebBank’s right to</w:t>
                      </w:r>
                    </w:p>
                  </w:txbxContent>
                </v:textbox>
                <w10:wrap type="none"/>
              </v:rect>
            </w:pict>
          </mc:Fallback>
        </mc:AlternateContent>
      </w:r>
      <w:r>
        <mc:AlternateContent>
          <mc:Choice Requires="wps">
            <w:drawing>
              <wp:anchor behindDoc="0" distT="0" distB="0" distL="0" distR="0" simplePos="0" locked="0" layoutInCell="1" allowOverlap="1" relativeHeight="326">
                <wp:simplePos x="0" y="0"/>
                <wp:positionH relativeFrom="page">
                  <wp:posOffset>6857365</wp:posOffset>
                </wp:positionH>
                <wp:positionV relativeFrom="line">
                  <wp:posOffset>635</wp:posOffset>
                </wp:positionV>
                <wp:extent cx="38100" cy="175260"/>
                <wp:effectExtent l="0" t="0" r="0" b="0"/>
                <wp:wrapNone/>
                <wp:docPr id="352" name="Frame28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7">
                <wp:simplePos x="0" y="0"/>
                <wp:positionH relativeFrom="page">
                  <wp:posOffset>914400</wp:posOffset>
                </wp:positionH>
                <wp:positionV relativeFrom="line">
                  <wp:posOffset>635</wp:posOffset>
                </wp:positionV>
                <wp:extent cx="5942330" cy="175260"/>
                <wp:effectExtent l="0" t="0" r="0" b="0"/>
                <wp:wrapNone/>
                <wp:docPr id="353" name="Frame288"/>
                <a:graphic xmlns:a="http://schemas.openxmlformats.org/drawingml/2006/main">
                  <a:graphicData uri="http://schemas.microsoft.com/office/word/2010/wordprocessingShape">
                    <wps:wsp>
                      <wps:cNvSpPr txBox="1"/>
                      <wps:spPr>
                        <a:xfrm>
                          <a:off x="0" y="0"/>
                          <a:ext cx="59423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color w:val="21AEFF"/>
                                <w:sz w:val="24"/>
                                <w:u w:val="single"/>
                              </w:rPr>
                            </w:pPr>
                            <w:r>
                              <w:rPr>
                                <w:rFonts w:ascii="Times New Roman;serif" w:hAnsi="Times New Roman;serif"/>
                                <w:b w:val="false"/>
                                <w:i w:val="false"/>
                                <w:caps w:val="false"/>
                                <w:smallCaps w:val="false"/>
                                <w:color w:val="21AEFF"/>
                                <w:sz w:val="24"/>
                                <w:u w:val="single"/>
                              </w:rPr>
                              <w:t>receive the purchase price of receivables required to be purchased by Constellation pursuant to</w:t>
                            </w:r>
                          </w:p>
                        </w:txbxContent>
                      </wps:txbx>
                      <wps:bodyPr anchor="t" lIns="0" tIns="0" rIns="0" bIns="0">
                        <a:noAutofit/>
                      </wps:bodyPr>
                    </wps:wsp>
                  </a:graphicData>
                </a:graphic>
              </wp:anchor>
            </w:drawing>
          </mc:Choice>
          <mc:Fallback>
            <w:pict>
              <v:rect style="position:absolute;rotation:-0;width:467.9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color w:val="21AEFF"/>
                          <w:sz w:val="24"/>
                          <w:u w:val="single"/>
                        </w:rPr>
                      </w:pPr>
                      <w:r>
                        <w:rPr>
                          <w:rFonts w:ascii="Times New Roman;serif" w:hAnsi="Times New Roman;serif"/>
                          <w:b w:val="false"/>
                          <w:i w:val="false"/>
                          <w:caps w:val="false"/>
                          <w:smallCaps w:val="false"/>
                          <w:color w:val="21AEFF"/>
                          <w:sz w:val="24"/>
                          <w:u w:val="single"/>
                        </w:rPr>
                        <w:t>receive the purchase price of receivables required to be purchased by Constellation pursuant to</w:t>
                      </w:r>
                    </w:p>
                  </w:txbxContent>
                </v:textbox>
                <w10:wrap type="none"/>
              </v:rect>
            </w:pict>
          </mc:Fallback>
        </mc:AlternateContent>
      </w:r>
      <w:r>
        <mc:AlternateContent>
          <mc:Choice Requires="wps">
            <w:drawing>
              <wp:anchor behindDoc="0" distT="0" distB="0" distL="0" distR="0" simplePos="0" locked="0" layoutInCell="1" allowOverlap="1" relativeHeight="328">
                <wp:simplePos x="0" y="0"/>
                <wp:positionH relativeFrom="page">
                  <wp:posOffset>6856730</wp:posOffset>
                </wp:positionH>
                <wp:positionV relativeFrom="line">
                  <wp:posOffset>635</wp:posOffset>
                </wp:positionV>
                <wp:extent cx="38100" cy="175260"/>
                <wp:effectExtent l="0" t="0" r="0" b="0"/>
                <wp:wrapNone/>
                <wp:docPr id="354" name="Frame28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9">
                <wp:simplePos x="0" y="0"/>
                <wp:positionH relativeFrom="page">
                  <wp:posOffset>914400</wp:posOffset>
                </wp:positionH>
                <wp:positionV relativeFrom="line">
                  <wp:posOffset>635</wp:posOffset>
                </wp:positionV>
                <wp:extent cx="5942965" cy="175260"/>
                <wp:effectExtent l="0" t="0" r="0" b="0"/>
                <wp:wrapNone/>
                <wp:docPr id="355" name="Frame290"/>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color w:val="21AEFF"/>
                                <w:sz w:val="24"/>
                                <w:u w:val="single"/>
                              </w:rPr>
                            </w:pPr>
                            <w:r>
                              <w:rPr>
                                <w:rFonts w:ascii="Times New Roman;serif" w:hAnsi="Times New Roman;serif"/>
                                <w:b w:val="false"/>
                                <w:i w:val="false"/>
                                <w:caps w:val="false"/>
                                <w:smallCaps w:val="false"/>
                                <w:color w:val="21AEFF"/>
                                <w:sz w:val="24"/>
                                <w:u w:val="single"/>
                              </w:rPr>
                              <w:t>such Related Documents and (e) any security interest or rights of the account bank at which the</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color w:val="21AEFF"/>
                          <w:sz w:val="24"/>
                          <w:u w:val="single"/>
                        </w:rPr>
                      </w:pPr>
                      <w:r>
                        <w:rPr>
                          <w:rFonts w:ascii="Times New Roman;serif" w:hAnsi="Times New Roman;serif"/>
                          <w:b w:val="false"/>
                          <w:i w:val="false"/>
                          <w:caps w:val="false"/>
                          <w:smallCaps w:val="false"/>
                          <w:color w:val="21AEFF"/>
                          <w:sz w:val="24"/>
                          <w:u w:val="single"/>
                        </w:rPr>
                        <w:t>such Related Documents and (e) any security interest or rights of the account bank at which the</w:t>
                      </w:r>
                    </w:p>
                  </w:txbxContent>
                </v:textbox>
                <w10:wrap type="none"/>
              </v:rect>
            </w:pict>
          </mc:Fallback>
        </mc:AlternateContent>
      </w:r>
      <w:r>
        <mc:AlternateContent>
          <mc:Choice Requires="wps">
            <w:drawing>
              <wp:anchor behindDoc="0" distT="0" distB="0" distL="0" distR="0" simplePos="0" locked="0" layoutInCell="1" allowOverlap="1" relativeHeight="330">
                <wp:simplePos x="0" y="0"/>
                <wp:positionH relativeFrom="page">
                  <wp:posOffset>6857365</wp:posOffset>
                </wp:positionH>
                <wp:positionV relativeFrom="line">
                  <wp:posOffset>635</wp:posOffset>
                </wp:positionV>
                <wp:extent cx="38100" cy="175260"/>
                <wp:effectExtent l="0" t="0" r="0" b="0"/>
                <wp:wrapNone/>
                <wp:docPr id="356" name="Frame29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03">
                <wp:simplePos x="0" y="0"/>
                <wp:positionH relativeFrom="page">
                  <wp:posOffset>914400</wp:posOffset>
                </wp:positionH>
                <wp:positionV relativeFrom="line">
                  <wp:posOffset>635</wp:posOffset>
                </wp:positionV>
                <wp:extent cx="5942330" cy="175260"/>
                <wp:effectExtent l="0" t="0" r="0" b="0"/>
                <wp:wrapNone/>
                <wp:docPr id="357" name="Frame264"/>
                <a:graphic xmlns:a="http://schemas.openxmlformats.org/drawingml/2006/main">
                  <a:graphicData uri="http://schemas.microsoft.com/office/word/2010/wordprocessingShape">
                    <wps:wsp>
                      <wps:cNvSpPr txBox="1"/>
                      <wps:spPr>
                        <a:xfrm>
                          <a:off x="0" y="0"/>
                          <a:ext cx="59423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 of the Credit Agreement is hereby amended as follows, wherein all deletions are indicated in</w:t>
                            </w:r>
                          </w:p>
                        </w:txbxContent>
                      </wps:txbx>
                      <wps:bodyPr anchor="t" lIns="0" tIns="0" rIns="0" bIns="0">
                        <a:noAutofit/>
                      </wps:bodyPr>
                    </wps:wsp>
                  </a:graphicData>
                </a:graphic>
              </wp:anchor>
            </w:drawing>
          </mc:Choice>
          <mc:Fallback>
            <w:pict>
              <v:rect style="position:absolute;rotation:-0;width:467.9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 of the Credit Agreement is hereby amended as follows, wherein all deletions are indicated in</w:t>
                      </w:r>
                    </w:p>
                  </w:txbxContent>
                </v:textbox>
                <w10:wrap type="none"/>
              </v:rect>
            </w:pict>
          </mc:Fallback>
        </mc:AlternateContent>
      </w:r>
      <w:r>
        <mc:AlternateContent>
          <mc:Choice Requires="wps">
            <w:drawing>
              <wp:anchor behindDoc="0" distT="0" distB="0" distL="0" distR="0" simplePos="0" locked="0" layoutInCell="1" allowOverlap="1" relativeHeight="294">
                <wp:simplePos x="0" y="0"/>
                <wp:positionH relativeFrom="page">
                  <wp:posOffset>6857365</wp:posOffset>
                </wp:positionH>
                <wp:positionV relativeFrom="line">
                  <wp:posOffset>635</wp:posOffset>
                </wp:positionV>
                <wp:extent cx="38100" cy="175260"/>
                <wp:effectExtent l="0" t="0" r="0" b="0"/>
                <wp:wrapNone/>
                <wp:docPr id="358" name="Frame25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95">
                <wp:simplePos x="0" y="0"/>
                <wp:positionH relativeFrom="page">
                  <wp:posOffset>914400</wp:posOffset>
                </wp:positionH>
                <wp:positionV relativeFrom="line">
                  <wp:posOffset>635</wp:posOffset>
                </wp:positionV>
                <wp:extent cx="5942330" cy="175260"/>
                <wp:effectExtent l="0" t="0" r="0" b="0"/>
                <wp:wrapNone/>
                <wp:docPr id="359" name="Frame256"/>
                <a:graphic xmlns:a="http://schemas.openxmlformats.org/drawingml/2006/main">
                  <a:graphicData uri="http://schemas.microsoft.com/office/word/2010/wordprocessingShape">
                    <wps:wsp>
                      <wps:cNvSpPr txBox="1"/>
                      <wps:spPr>
                        <a:xfrm>
                          <a:off x="0" y="0"/>
                          <a:ext cx="59423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contained, and for good and valuable consideration, the receipt and sufficiency of which are</w:t>
                            </w:r>
                          </w:p>
                        </w:txbxContent>
                      </wps:txbx>
                      <wps:bodyPr anchor="t" lIns="0" tIns="0" rIns="0" bIns="0">
                        <a:noAutofit/>
                      </wps:bodyPr>
                    </wps:wsp>
                  </a:graphicData>
                </a:graphic>
              </wp:anchor>
            </w:drawing>
          </mc:Choice>
          <mc:Fallback>
            <w:pict>
              <v:rect style="position:absolute;rotation:-0;width:467.9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contained, and for good and valuable consideration, the receipt and sufficiency of which are</w:t>
                      </w:r>
                    </w:p>
                  </w:txbxContent>
                </v:textbox>
                <w10:wrap type="none"/>
              </v:rect>
            </w:pict>
          </mc:Fallback>
        </mc:AlternateContent>
      </w:r>
      <w:r>
        <mc:AlternateContent>
          <mc:Choice Requires="wps">
            <w:drawing>
              <wp:anchor behindDoc="0" distT="0" distB="0" distL="0" distR="0" simplePos="0" locked="0" layoutInCell="1" allowOverlap="1" relativeHeight="296">
                <wp:simplePos x="0" y="0"/>
                <wp:positionH relativeFrom="page">
                  <wp:posOffset>6856730</wp:posOffset>
                </wp:positionH>
                <wp:positionV relativeFrom="line">
                  <wp:posOffset>635</wp:posOffset>
                </wp:positionV>
                <wp:extent cx="38100" cy="175260"/>
                <wp:effectExtent l="0" t="0" r="0" b="0"/>
                <wp:wrapNone/>
                <wp:docPr id="360" name="Frame25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97">
                <wp:simplePos x="0" y="0"/>
                <wp:positionH relativeFrom="page">
                  <wp:posOffset>914400</wp:posOffset>
                </wp:positionH>
                <wp:positionV relativeFrom="line">
                  <wp:posOffset>635</wp:posOffset>
                </wp:positionV>
                <wp:extent cx="5624830" cy="350520"/>
                <wp:effectExtent l="0" t="0" r="0" b="0"/>
                <wp:wrapNone/>
                <wp:docPr id="361" name="Frame258"/>
                <a:graphic xmlns:a="http://schemas.openxmlformats.org/drawingml/2006/main">
                  <a:graphicData uri="http://schemas.microsoft.com/office/word/2010/wordprocessingShape">
                    <wps:wsp>
                      <wps:cNvSpPr txBox="1"/>
                      <wps:spPr>
                        <a:xfrm>
                          <a:off x="0" y="0"/>
                          <a:ext cx="562483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hereby acknowledged, the Borrower, the Servicer and the Lender mutually agree as follows:</w:t>
                            </w:r>
                          </w:p>
                        </w:txbxContent>
                      </wps:txbx>
                      <wps:bodyPr anchor="t" lIns="0" tIns="0" rIns="0" bIns="0">
                        <a:noAutofit/>
                      </wps:bodyPr>
                    </wps:wsp>
                  </a:graphicData>
                </a:graphic>
              </wp:anchor>
            </w:drawing>
          </mc:Choice>
          <mc:Fallback>
            <w:pict>
              <v:rect style="position:absolute;rotation:-0;width:442.9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hereby acknowledged, the Borrower, the Servicer and the Lender mutually agree as follows:</w:t>
                      </w:r>
                    </w:p>
                  </w:txbxContent>
                </v:textbox>
                <w10:wrap type="none"/>
              </v:rect>
            </w:pict>
          </mc:Fallback>
        </mc:AlternateContent>
      </w:r>
      <w:r>
        <mc:AlternateContent>
          <mc:Choice Requires="wps">
            <w:drawing>
              <wp:anchor behindDoc="0" distT="0" distB="0" distL="0" distR="0" simplePos="0" locked="0" layoutInCell="1" allowOverlap="1" relativeHeight="298">
                <wp:simplePos x="0" y="0"/>
                <wp:positionH relativeFrom="page">
                  <wp:posOffset>1371600</wp:posOffset>
                </wp:positionH>
                <wp:positionV relativeFrom="line">
                  <wp:posOffset>635</wp:posOffset>
                </wp:positionV>
                <wp:extent cx="114300" cy="175260"/>
                <wp:effectExtent l="0" t="0" r="0" b="0"/>
                <wp:wrapNone/>
                <wp:docPr id="362" name="Frame259"/>
                <a:graphic xmlns:a="http://schemas.openxmlformats.org/drawingml/2006/main">
                  <a:graphicData uri="http://schemas.microsoft.com/office/word/2010/wordprocessingShape">
                    <wps:wsp>
                      <wps:cNvSpPr txBox="1"/>
                      <wps:spPr>
                        <a:xfrm>
                          <a:off x="0" y="0"/>
                          <a:ext cx="1143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w:t>
                            </w:r>
                          </w:p>
                        </w:txbxContent>
                      </wps:txbx>
                      <wps:bodyPr anchor="t" lIns="0" tIns="0" rIns="0" bIns="0">
                        <a:noAutofit/>
                      </wps:bodyPr>
                    </wps:wsp>
                  </a:graphicData>
                </a:graphic>
              </wp:anchor>
            </w:drawing>
          </mc:Choice>
          <mc:Fallback>
            <w:pict>
              <v:rect style="position:absolute;rotation:-0;width: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1.</w:t>
                      </w:r>
                    </w:p>
                  </w:txbxContent>
                </v:textbox>
                <w10:wrap type="none"/>
              </v:rect>
            </w:pict>
          </mc:Fallback>
        </mc:AlternateContent>
      </w:r>
      <w:r>
        <mc:AlternateContent>
          <mc:Choice Requires="wps">
            <w:drawing>
              <wp:anchor behindDoc="0" distT="0" distB="0" distL="0" distR="0" simplePos="0" locked="0" layoutInCell="1" allowOverlap="1" relativeHeight="299">
                <wp:simplePos x="0" y="0"/>
                <wp:positionH relativeFrom="page">
                  <wp:posOffset>1828800</wp:posOffset>
                </wp:positionH>
                <wp:positionV relativeFrom="line">
                  <wp:posOffset>635</wp:posOffset>
                </wp:positionV>
                <wp:extent cx="2218055" cy="175260"/>
                <wp:effectExtent l="0" t="0" r="0" b="0"/>
                <wp:wrapNone/>
                <wp:docPr id="363" name="Frame260"/>
                <a:graphic xmlns:a="http://schemas.openxmlformats.org/drawingml/2006/main">
                  <a:graphicData uri="http://schemas.microsoft.com/office/word/2010/wordprocessingShape">
                    <wps:wsp>
                      <wps:cNvSpPr txBox="1"/>
                      <wps:spPr>
                        <a:xfrm>
                          <a:off x="0" y="0"/>
                          <a:ext cx="221805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Modification Regarding Definitions</w:t>
                            </w:r>
                          </w:p>
                        </w:txbxContent>
                      </wps:txbx>
                      <wps:bodyPr anchor="t" lIns="0" tIns="0" rIns="0" bIns="0">
                        <a:noAutofit/>
                      </wps:bodyPr>
                    </wps:wsp>
                  </a:graphicData>
                </a:graphic>
              </wp:anchor>
            </w:drawing>
          </mc:Choice>
          <mc:Fallback>
            <w:pict>
              <v:rect style="position:absolute;rotation:-0;width:174.65pt;height:13.8pt;mso-wrap-distance-left:0pt;mso-wrap-distance-right:0pt;mso-wrap-distance-top:0pt;mso-wrap-distance-bottom:0pt;margin-top:0pt;mso-position-vertical:top;mso-position-vertical-relative:text;margin-left:144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Modification Regarding Definitions</w:t>
                      </w:r>
                    </w:p>
                  </w:txbxContent>
                </v:textbox>
                <w10:wrap type="none"/>
              </v:rect>
            </w:pict>
          </mc:Fallback>
        </mc:AlternateContent>
      </w:r>
      <w:r>
        <mc:AlternateContent>
          <mc:Choice Requires="wps">
            <w:drawing>
              <wp:anchor behindDoc="0" distT="0" distB="0" distL="0" distR="0" simplePos="0" locked="0" layoutInCell="1" allowOverlap="1" relativeHeight="300">
                <wp:simplePos x="0" y="0"/>
                <wp:positionH relativeFrom="page">
                  <wp:posOffset>4046855</wp:posOffset>
                </wp:positionH>
                <wp:positionV relativeFrom="line">
                  <wp:posOffset>635</wp:posOffset>
                </wp:positionV>
                <wp:extent cx="141605" cy="175260"/>
                <wp:effectExtent l="0" t="0" r="0" b="0"/>
                <wp:wrapNone/>
                <wp:docPr id="364" name="Frame261"/>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  </w:t>
                            </w:r>
                          </w:p>
                        </w:txbxContent>
                      </wps:txbx>
                      <wps:bodyPr anchor="t" lIns="0" tIns="0" rIns="0" bIns="0">
                        <a:noAutofit/>
                      </wps:bodyPr>
                    </wps:wsp>
                  </a:graphicData>
                </a:graphic>
              </wp:anchor>
            </w:drawing>
          </mc:Choice>
          <mc:Fallback>
            <w:pict>
              <v:rect style="position:absolute;rotation:-0;width:11.15pt;height:13.8pt;mso-wrap-distance-left:0pt;mso-wrap-distance-right:0pt;mso-wrap-distance-top:0pt;mso-wrap-distance-bottom:0pt;margin-top:0pt;mso-position-vertical:top;mso-position-vertical-relative:text;margin-left:318.6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301">
                <wp:simplePos x="0" y="0"/>
                <wp:positionH relativeFrom="page">
                  <wp:posOffset>4188460</wp:posOffset>
                </wp:positionH>
                <wp:positionV relativeFrom="line">
                  <wp:posOffset>635</wp:posOffset>
                </wp:positionV>
                <wp:extent cx="2668905" cy="175260"/>
                <wp:effectExtent l="0" t="0" r="0" b="0"/>
                <wp:wrapNone/>
                <wp:docPr id="365" name="Frame262"/>
                <a:graphic xmlns:a="http://schemas.openxmlformats.org/drawingml/2006/main">
                  <a:graphicData uri="http://schemas.microsoft.com/office/word/2010/wordprocessingShape">
                    <wps:wsp>
                      <wps:cNvSpPr txBox="1"/>
                      <wps:spPr>
                        <a:xfrm>
                          <a:off x="0" y="0"/>
                          <a:ext cx="266890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definition of “Collateral” in Appendix</w:t>
                            </w:r>
                          </w:p>
                        </w:txbxContent>
                      </wps:txbx>
                      <wps:bodyPr anchor="t" lIns="0" tIns="0" rIns="0" bIns="0">
                        <a:noAutofit/>
                      </wps:bodyPr>
                    </wps:wsp>
                  </a:graphicData>
                </a:graphic>
              </wp:anchor>
            </w:drawing>
          </mc:Choice>
          <mc:Fallback>
            <w:pict>
              <v:rect style="position:absolute;rotation:-0;width:210.15pt;height:13.8pt;mso-wrap-distance-left:0pt;mso-wrap-distance-right:0pt;mso-wrap-distance-top:0pt;mso-wrap-distance-bottom:0pt;margin-top:0pt;mso-position-vertical:top;mso-position-vertical-relative:text;margin-left:329.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definition of “Collateral” in Appendix</w:t>
                      </w:r>
                    </w:p>
                  </w:txbxContent>
                </v:textbox>
                <w10:wrap type="none"/>
              </v:rect>
            </w:pict>
          </mc:Fallback>
        </mc:AlternateContent>
      </w:r>
      <w:r>
        <mc:AlternateContent>
          <mc:Choice Requires="wps">
            <w:drawing>
              <wp:anchor behindDoc="0" distT="0" distB="0" distL="0" distR="0" simplePos="0" locked="0" layoutInCell="1" allowOverlap="1" relativeHeight="302">
                <wp:simplePos x="0" y="0"/>
                <wp:positionH relativeFrom="page">
                  <wp:posOffset>6857365</wp:posOffset>
                </wp:positionH>
                <wp:positionV relativeFrom="line">
                  <wp:posOffset>635</wp:posOffset>
                </wp:positionV>
                <wp:extent cx="38100" cy="175260"/>
                <wp:effectExtent l="0" t="0" r="0" b="0"/>
                <wp:wrapNone/>
                <wp:docPr id="366" name="Frame26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1">
                <wp:simplePos x="0" y="0"/>
                <wp:positionH relativeFrom="page">
                  <wp:posOffset>914400</wp:posOffset>
                </wp:positionH>
                <wp:positionV relativeFrom="line">
                  <wp:posOffset>635</wp:posOffset>
                </wp:positionV>
                <wp:extent cx="5942965" cy="175260"/>
                <wp:effectExtent l="0" t="0" r="0" b="0"/>
                <wp:wrapNone/>
                <wp:docPr id="367" name="Frame292"/>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color w:val="21AEFF"/>
                                <w:sz w:val="24"/>
                                <w:u w:val="single"/>
                              </w:rPr>
                            </w:pPr>
                            <w:r>
                              <w:rPr>
                                <w:rFonts w:ascii="Times New Roman;serif" w:hAnsi="Times New Roman;serif"/>
                                <w:b w:val="false"/>
                                <w:i w:val="false"/>
                                <w:caps w:val="false"/>
                                <w:smallCaps w:val="false"/>
                                <w:color w:val="21AEFF"/>
                                <w:sz w:val="24"/>
                                <w:u w:val="single"/>
                              </w:rPr>
                              <w:t>Servicer maintains the servicing collection account in which Collections are deposited prior to</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color w:val="21AEFF"/>
                          <w:sz w:val="24"/>
                          <w:u w:val="single"/>
                        </w:rPr>
                      </w:pPr>
                      <w:r>
                        <w:rPr>
                          <w:rFonts w:ascii="Times New Roman;serif" w:hAnsi="Times New Roman;serif"/>
                          <w:b w:val="false"/>
                          <w:i w:val="false"/>
                          <w:caps w:val="false"/>
                          <w:smallCaps w:val="false"/>
                          <w:color w:val="21AEFF"/>
                          <w:sz w:val="24"/>
                          <w:u w:val="single"/>
                        </w:rPr>
                        <w:t>Servicer maintains the servicing collection account in which Collections are deposited prior to</w:t>
                      </w:r>
                    </w:p>
                  </w:txbxContent>
                </v:textbox>
                <w10:wrap type="none"/>
              </v:rect>
            </w:pict>
          </mc:Fallback>
        </mc:AlternateContent>
      </w:r>
      <w:r>
        <mc:AlternateContent>
          <mc:Choice Requires="wps">
            <w:drawing>
              <wp:anchor behindDoc="0" distT="0" distB="0" distL="0" distR="0" simplePos="0" locked="0" layoutInCell="1" allowOverlap="1" relativeHeight="304">
                <wp:simplePos x="0" y="0"/>
                <wp:positionH relativeFrom="page">
                  <wp:posOffset>6856730</wp:posOffset>
                </wp:positionH>
                <wp:positionV relativeFrom="line">
                  <wp:posOffset>635</wp:posOffset>
                </wp:positionV>
                <wp:extent cx="38100" cy="175260"/>
                <wp:effectExtent l="0" t="0" r="0" b="0"/>
                <wp:wrapNone/>
                <wp:docPr id="368" name="Frame26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05">
                <wp:simplePos x="0" y="0"/>
                <wp:positionH relativeFrom="page">
                  <wp:posOffset>914400</wp:posOffset>
                </wp:positionH>
                <wp:positionV relativeFrom="line">
                  <wp:posOffset>635</wp:posOffset>
                </wp:positionV>
                <wp:extent cx="1256030" cy="350520"/>
                <wp:effectExtent l="0" t="0" r="0" b="0"/>
                <wp:wrapNone/>
                <wp:docPr id="369" name="Frame266"/>
                <a:graphic xmlns:a="http://schemas.openxmlformats.org/drawingml/2006/main">
                  <a:graphicData uri="http://schemas.microsoft.com/office/word/2010/wordprocessingShape">
                    <wps:wsp>
                      <wps:cNvSpPr txBox="1"/>
                      <wps:spPr>
                        <a:xfrm>
                          <a:off x="0" y="0"/>
                          <a:ext cx="125603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color w:val="FF0000"/>
                                <w:sz w:val="24"/>
                              </w:rPr>
                            </w:pPr>
                            <w:r>
                              <w:rPr>
                                <w:rFonts w:ascii="Times New Roman;serif" w:hAnsi="Times New Roman;serif"/>
                                <w:b w:val="false"/>
                                <w:i w:val="false"/>
                                <w:caps w:val="false"/>
                                <w:smallCaps w:val="false"/>
                                <w:strike/>
                                <w:color w:val="FF0000"/>
                                <w:sz w:val="24"/>
                              </w:rPr>
                              <w:t>strikethrough format</w:t>
                            </w:r>
                          </w:p>
                        </w:txbxContent>
                      </wps:txbx>
                      <wps:bodyPr anchor="t" lIns="0" tIns="0" rIns="0" bIns="0">
                        <a:noAutofit/>
                      </wps:bodyPr>
                    </wps:wsp>
                  </a:graphicData>
                </a:graphic>
              </wp:anchor>
            </w:drawing>
          </mc:Choice>
          <mc:Fallback>
            <w:pict>
              <v:rect style="position:absolute;rotation:-0;width:98.9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color w:val="FF0000"/>
                          <w:sz w:val="24"/>
                        </w:rPr>
                      </w:pPr>
                      <w:r>
                        <w:rPr>
                          <w:rFonts w:ascii="Times New Roman;serif" w:hAnsi="Times New Roman;serif"/>
                          <w:b w:val="false"/>
                          <w:i w:val="false"/>
                          <w:caps w:val="false"/>
                          <w:smallCaps w:val="false"/>
                          <w:strike/>
                          <w:color w:val="FF0000"/>
                          <w:sz w:val="24"/>
                        </w:rPr>
                        <w:t>strikethrough format</w:t>
                      </w:r>
                    </w:p>
                  </w:txbxContent>
                </v:textbox>
                <w10:wrap type="none"/>
              </v:rect>
            </w:pict>
          </mc:Fallback>
        </mc:AlternateContent>
      </w:r>
      <w:r>
        <mc:AlternateContent>
          <mc:Choice Requires="wps">
            <w:drawing>
              <wp:anchor behindDoc="0" distT="0" distB="0" distL="0" distR="0" simplePos="0" locked="0" layoutInCell="1" allowOverlap="1" relativeHeight="306">
                <wp:simplePos x="0" y="0"/>
                <wp:positionH relativeFrom="page">
                  <wp:posOffset>2170430</wp:posOffset>
                </wp:positionH>
                <wp:positionV relativeFrom="line">
                  <wp:posOffset>635</wp:posOffset>
                </wp:positionV>
                <wp:extent cx="2059940" cy="175260"/>
                <wp:effectExtent l="0" t="0" r="0" b="0"/>
                <wp:wrapNone/>
                <wp:docPr id="370" name="Frame267"/>
                <a:graphic xmlns:a="http://schemas.openxmlformats.org/drawingml/2006/main">
                  <a:graphicData uri="http://schemas.microsoft.com/office/word/2010/wordprocessingShape">
                    <wps:wsp>
                      <wps:cNvSpPr txBox="1"/>
                      <wps:spPr>
                        <a:xfrm>
                          <a:off x="0" y="0"/>
                          <a:ext cx="205994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and all additions are indicated in </w:t>
                            </w:r>
                          </w:p>
                        </w:txbxContent>
                      </wps:txbx>
                      <wps:bodyPr anchor="t" lIns="0" tIns="0" rIns="0" bIns="0">
                        <a:noAutofit/>
                      </wps:bodyPr>
                    </wps:wsp>
                  </a:graphicData>
                </a:graphic>
              </wp:anchor>
            </w:drawing>
          </mc:Choice>
          <mc:Fallback>
            <w:pict>
              <v:rect style="position:absolute;rotation:-0;width:162.2pt;height:13.8pt;mso-wrap-distance-left:0pt;mso-wrap-distance-right:0pt;mso-wrap-distance-top:0pt;mso-wrap-distance-bottom:0pt;margin-top:0pt;mso-position-vertical:top;mso-position-vertical-relative:text;margin-left:170.9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xml:space="preserve">and all additions are indicated in </w:t>
                      </w:r>
                    </w:p>
                  </w:txbxContent>
                </v:textbox>
                <w10:wrap type="none"/>
              </v:rect>
            </w:pict>
          </mc:Fallback>
        </mc:AlternateContent>
      </w:r>
      <w:r>
        <mc:AlternateContent>
          <mc:Choice Requires="wps">
            <w:drawing>
              <wp:anchor behindDoc="0" distT="0" distB="0" distL="0" distR="0" simplePos="0" locked="0" layoutInCell="1" allowOverlap="1" relativeHeight="307">
                <wp:simplePos x="0" y="0"/>
                <wp:positionH relativeFrom="page">
                  <wp:posOffset>4230370</wp:posOffset>
                </wp:positionH>
                <wp:positionV relativeFrom="line">
                  <wp:posOffset>635</wp:posOffset>
                </wp:positionV>
                <wp:extent cx="1548130" cy="350520"/>
                <wp:effectExtent l="0" t="0" r="0" b="0"/>
                <wp:wrapNone/>
                <wp:docPr id="371" name="Frame268"/>
                <a:graphic xmlns:a="http://schemas.openxmlformats.org/drawingml/2006/main">
                  <a:graphicData uri="http://schemas.microsoft.com/office/word/2010/wordprocessingShape">
                    <wps:wsp>
                      <wps:cNvSpPr txBox="1"/>
                      <wps:spPr>
                        <a:xfrm>
                          <a:off x="0" y="0"/>
                          <a:ext cx="154813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color w:val="21AEFF"/>
                                <w:sz w:val="24"/>
                                <w:u w:val="single"/>
                              </w:rPr>
                            </w:pPr>
                            <w:r>
                              <w:rPr>
                                <w:rFonts w:ascii="Times New Roman;serif" w:hAnsi="Times New Roman;serif"/>
                                <w:b w:val="false"/>
                                <w:i w:val="false"/>
                                <w:caps w:val="false"/>
                                <w:smallCaps w:val="false"/>
                                <w:color w:val="21AEFF"/>
                                <w:sz w:val="24"/>
                                <w:u w:val="single"/>
                              </w:rPr>
                              <w:t>double underlined format</w:t>
                            </w:r>
                          </w:p>
                        </w:txbxContent>
                      </wps:txbx>
                      <wps:bodyPr anchor="t" lIns="0" tIns="0" rIns="0" bIns="0">
                        <a:noAutofit/>
                      </wps:bodyPr>
                    </wps:wsp>
                  </a:graphicData>
                </a:graphic>
              </wp:anchor>
            </w:drawing>
          </mc:Choice>
          <mc:Fallback>
            <w:pict>
              <v:rect style="position:absolute;rotation:-0;width:121.9pt;height:27.6pt;mso-wrap-distance-left:0pt;mso-wrap-distance-right:0pt;mso-wrap-distance-top:0pt;mso-wrap-distance-bottom:0pt;margin-top:0pt;mso-position-vertical:top;mso-position-vertical-relative:text;margin-left:333.1pt;mso-position-horizontal-relative:page">
                <v:textbox>
                  <w:txbxContent>
                    <w:p>
                      <w:pPr>
                        <w:pStyle w:val="TextBody"/>
                        <w:bidi w:val="0"/>
                        <w:spacing w:before="0" w:after="283"/>
                        <w:jc w:val="left"/>
                        <w:rPr>
                          <w:rFonts w:ascii="Times New Roman;serif" w:hAnsi="Times New Roman;serif"/>
                          <w:b w:val="false"/>
                          <w:i w:val="false"/>
                          <w:caps w:val="false"/>
                          <w:smallCaps w:val="false"/>
                          <w:color w:val="21AEFF"/>
                          <w:sz w:val="24"/>
                          <w:u w:val="single"/>
                        </w:rPr>
                      </w:pPr>
                      <w:r>
                        <w:rPr>
                          <w:rFonts w:ascii="Times New Roman;serif" w:hAnsi="Times New Roman;serif"/>
                          <w:b w:val="false"/>
                          <w:i w:val="false"/>
                          <w:caps w:val="false"/>
                          <w:smallCaps w:val="false"/>
                          <w:color w:val="21AEFF"/>
                          <w:sz w:val="24"/>
                          <w:u w:val="single"/>
                        </w:rPr>
                        <w:t>double underlined format</w:t>
                      </w:r>
                    </w:p>
                  </w:txbxContent>
                </v:textbox>
                <w10:wrap type="none"/>
              </v:rect>
            </w:pict>
          </mc:Fallback>
        </mc:AlternateContent>
      </w:r>
      <w:r>
        <mc:AlternateContent>
          <mc:Choice Requires="wps">
            <w:drawing>
              <wp:anchor behindDoc="0" distT="0" distB="0" distL="0" distR="0" simplePos="0" locked="0" layoutInCell="1" allowOverlap="1" relativeHeight="308">
                <wp:simplePos x="0" y="0"/>
                <wp:positionH relativeFrom="page">
                  <wp:posOffset>5778500</wp:posOffset>
                </wp:positionH>
                <wp:positionV relativeFrom="line">
                  <wp:posOffset>635</wp:posOffset>
                </wp:positionV>
                <wp:extent cx="42545" cy="175260"/>
                <wp:effectExtent l="0" t="0" r="0" b="0"/>
                <wp:wrapNone/>
                <wp:docPr id="372" name="Frame269"/>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45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09">
                <wp:simplePos x="0" y="0"/>
                <wp:positionH relativeFrom="page">
                  <wp:posOffset>914400</wp:posOffset>
                </wp:positionH>
                <wp:positionV relativeFrom="line">
                  <wp:posOffset>635</wp:posOffset>
                </wp:positionV>
                <wp:extent cx="14605" cy="175260"/>
                <wp:effectExtent l="0" t="0" r="0" b="0"/>
                <wp:wrapNone/>
                <wp:docPr id="373" name="Frame270"/>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10">
                <wp:simplePos x="0" y="0"/>
                <wp:positionH relativeFrom="page">
                  <wp:posOffset>1371600</wp:posOffset>
                </wp:positionH>
                <wp:positionV relativeFrom="line">
                  <wp:posOffset>635</wp:posOffset>
                </wp:positionV>
                <wp:extent cx="67310" cy="175260"/>
                <wp:effectExtent l="0" t="0" r="0" b="0"/>
                <wp:wrapNone/>
                <wp:docPr id="374" name="Frame271"/>
                <a:graphic xmlns:a="http://schemas.openxmlformats.org/drawingml/2006/main">
                  <a:graphicData uri="http://schemas.microsoft.com/office/word/2010/wordprocessingShape">
                    <wps:wsp>
                      <wps:cNvSpPr txBox="1"/>
                      <wps:spPr>
                        <a:xfrm>
                          <a:off x="0" y="0"/>
                          <a:ext cx="6731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5.3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11">
                <wp:simplePos x="0" y="0"/>
                <wp:positionH relativeFrom="page">
                  <wp:posOffset>1438910</wp:posOffset>
                </wp:positionH>
                <wp:positionV relativeFrom="line">
                  <wp:posOffset>635</wp:posOffset>
                </wp:positionV>
                <wp:extent cx="916940" cy="175260"/>
                <wp:effectExtent l="0" t="0" r="0" b="0"/>
                <wp:wrapNone/>
                <wp:docPr id="375" name="Frame272"/>
                <a:graphic xmlns:a="http://schemas.openxmlformats.org/drawingml/2006/main">
                  <a:graphicData uri="http://schemas.microsoft.com/office/word/2010/wordprocessingShape">
                    <wps:wsp>
                      <wps:cNvSpPr txBox="1"/>
                      <wps:spPr>
                        <a:xfrm>
                          <a:off x="0" y="0"/>
                          <a:ext cx="91694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Permitted Lien</w:t>
                            </w:r>
                          </w:p>
                        </w:txbxContent>
                      </wps:txbx>
                      <wps:bodyPr anchor="t" lIns="0" tIns="0" rIns="0" bIns="0">
                        <a:noAutofit/>
                      </wps:bodyPr>
                    </wps:wsp>
                  </a:graphicData>
                </a:graphic>
              </wp:anchor>
            </w:drawing>
          </mc:Choice>
          <mc:Fallback>
            <w:pict>
              <v:rect style="position:absolute;rotation:-0;width:72.2pt;height:13.8pt;mso-wrap-distance-left:0pt;mso-wrap-distance-right:0pt;mso-wrap-distance-top:0pt;mso-wrap-distance-bottom:0pt;margin-top:0pt;mso-position-vertical:top;mso-position-vertical-relative:text;margin-left:113.3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Permitted Lien</w:t>
                      </w:r>
                    </w:p>
                  </w:txbxContent>
                </v:textbox>
                <w10:wrap type="none"/>
              </v:rect>
            </w:pict>
          </mc:Fallback>
        </mc:AlternateContent>
      </w:r>
      <w:r>
        <mc:AlternateContent>
          <mc:Choice Requires="wps">
            <w:drawing>
              <wp:anchor behindDoc="0" distT="0" distB="0" distL="0" distR="0" simplePos="0" locked="0" layoutInCell="1" allowOverlap="1" relativeHeight="360">
                <wp:simplePos x="0" y="0"/>
                <wp:positionH relativeFrom="page">
                  <wp:posOffset>2286000</wp:posOffset>
                </wp:positionH>
                <wp:positionV relativeFrom="line">
                  <wp:posOffset>635</wp:posOffset>
                </wp:positionV>
                <wp:extent cx="4570730" cy="175260"/>
                <wp:effectExtent l="0" t="0" r="0" b="0"/>
                <wp:wrapNone/>
                <wp:docPr id="376" name="Frame321"/>
                <a:graphic xmlns:a="http://schemas.openxmlformats.org/drawingml/2006/main">
                  <a:graphicData uri="http://schemas.microsoft.com/office/word/2010/wordprocessingShape">
                    <wps:wsp>
                      <wps:cNvSpPr txBox="1"/>
                      <wps:spPr>
                        <a:xfrm>
                          <a:off x="0" y="0"/>
                          <a:ext cx="45707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so as to render invalid or improper any action heretofore taken under the</w:t>
                            </w:r>
                          </w:p>
                        </w:txbxContent>
                      </wps:txbx>
                      <wps:bodyPr anchor="t" lIns="0" tIns="0" rIns="0" bIns="0">
                        <a:noAutofit/>
                      </wps:bodyPr>
                    </wps:wsp>
                  </a:graphicData>
                </a:graphic>
              </wp:anchor>
            </w:drawing>
          </mc:Choice>
          <mc:Fallback>
            <w:pict>
              <v:rect style="position:absolute;rotation:-0;width:359.9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so as to render invalid or improper any action heretofore taken under the</w:t>
                      </w:r>
                    </w:p>
                  </w:txbxContent>
                </v:textbox>
                <w10:wrap type="none"/>
              </v:rect>
            </w:pict>
          </mc:Fallback>
        </mc:AlternateContent>
      </w:r>
      <w:r>
        <mc:AlternateContent>
          <mc:Choice Requires="wps">
            <w:drawing>
              <wp:anchor behindDoc="0" distT="0" distB="0" distL="0" distR="0" simplePos="0" locked="0" layoutInCell="1" allowOverlap="1" relativeHeight="351">
                <wp:simplePos x="0" y="0"/>
                <wp:positionH relativeFrom="page">
                  <wp:posOffset>6856730</wp:posOffset>
                </wp:positionH>
                <wp:positionV relativeFrom="line">
                  <wp:posOffset>635</wp:posOffset>
                </wp:positionV>
                <wp:extent cx="38100" cy="175260"/>
                <wp:effectExtent l="0" t="0" r="0" b="0"/>
                <wp:wrapNone/>
                <wp:docPr id="377" name="Frame31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2">
                <wp:simplePos x="0" y="0"/>
                <wp:positionH relativeFrom="page">
                  <wp:posOffset>2286000</wp:posOffset>
                </wp:positionH>
                <wp:positionV relativeFrom="line">
                  <wp:posOffset>635</wp:posOffset>
                </wp:positionV>
                <wp:extent cx="4572000" cy="175260"/>
                <wp:effectExtent l="0" t="0" r="0" b="0"/>
                <wp:wrapNone/>
                <wp:docPr id="378" name="Frame313"/>
                <a:graphic xmlns:a="http://schemas.openxmlformats.org/drawingml/2006/main">
                  <a:graphicData uri="http://schemas.microsoft.com/office/word/2010/wordprocessingShape">
                    <wps:wsp>
                      <wps:cNvSpPr txBox="1"/>
                      <wps:spPr>
                        <a:xfrm>
                          <a:off x="0" y="0"/>
                          <a:ext cx="45720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herein, the Credit Agreement shall thereupon be deemed to be amended</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herein, the Credit Agreement shall thereupon be deemed to be amended</w:t>
                      </w:r>
                    </w:p>
                  </w:txbxContent>
                </v:textbox>
                <w10:wrap type="none"/>
              </v:rect>
            </w:pict>
          </mc:Fallback>
        </mc:AlternateContent>
      </w:r>
      <w:r>
        <mc:AlternateContent>
          <mc:Choice Requires="wps">
            <w:drawing>
              <wp:anchor behindDoc="0" distT="0" distB="0" distL="0" distR="0" simplePos="0" locked="0" layoutInCell="1" allowOverlap="1" relativeHeight="353">
                <wp:simplePos x="0" y="0"/>
                <wp:positionH relativeFrom="page">
                  <wp:posOffset>6858000</wp:posOffset>
                </wp:positionH>
                <wp:positionV relativeFrom="line">
                  <wp:posOffset>635</wp:posOffset>
                </wp:positionV>
                <wp:extent cx="38100" cy="175260"/>
                <wp:effectExtent l="0" t="0" r="0" b="0"/>
                <wp:wrapNone/>
                <wp:docPr id="379" name="Frame31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4">
                <wp:simplePos x="0" y="0"/>
                <wp:positionH relativeFrom="page">
                  <wp:posOffset>2286000</wp:posOffset>
                </wp:positionH>
                <wp:positionV relativeFrom="line">
                  <wp:posOffset>635</wp:posOffset>
                </wp:positionV>
                <wp:extent cx="4572000" cy="175260"/>
                <wp:effectExtent l="0" t="0" r="0" b="0"/>
                <wp:wrapNone/>
                <wp:docPr id="380" name="Frame315"/>
                <a:graphic xmlns:a="http://schemas.openxmlformats.org/drawingml/2006/main">
                  <a:graphicData uri="http://schemas.microsoft.com/office/word/2010/wordprocessingShape">
                    <wps:wsp>
                      <wps:cNvSpPr txBox="1"/>
                      <wps:spPr>
                        <a:xfrm>
                          <a:off x="0" y="0"/>
                          <a:ext cx="45720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and supplemented as hereinabove set forth, and this Amendment shall</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and supplemented as hereinabove set forth, and this Amendment shall</w:t>
                      </w:r>
                    </w:p>
                  </w:txbxContent>
                </v:textbox>
                <w10:wrap type="none"/>
              </v:rect>
            </w:pict>
          </mc:Fallback>
        </mc:AlternateContent>
      </w:r>
      <w:r>
        <mc:AlternateContent>
          <mc:Choice Requires="wps">
            <w:drawing>
              <wp:anchor behindDoc="0" distT="0" distB="0" distL="0" distR="0" simplePos="0" locked="0" layoutInCell="1" allowOverlap="1" relativeHeight="355">
                <wp:simplePos x="0" y="0"/>
                <wp:positionH relativeFrom="page">
                  <wp:posOffset>6858000</wp:posOffset>
                </wp:positionH>
                <wp:positionV relativeFrom="line">
                  <wp:posOffset>635</wp:posOffset>
                </wp:positionV>
                <wp:extent cx="38100" cy="175260"/>
                <wp:effectExtent l="0" t="0" r="0" b="0"/>
                <wp:wrapNone/>
                <wp:docPr id="381" name="Frame31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6">
                <wp:simplePos x="0" y="0"/>
                <wp:positionH relativeFrom="page">
                  <wp:posOffset>2286000</wp:posOffset>
                </wp:positionH>
                <wp:positionV relativeFrom="line">
                  <wp:posOffset>635</wp:posOffset>
                </wp:positionV>
                <wp:extent cx="4572000" cy="175260"/>
                <wp:effectExtent l="0" t="0" r="0" b="0"/>
                <wp:wrapNone/>
                <wp:docPr id="382" name="Frame317"/>
                <a:graphic xmlns:a="http://schemas.openxmlformats.org/drawingml/2006/main">
                  <a:graphicData uri="http://schemas.microsoft.com/office/word/2010/wordprocessingShape">
                    <wps:wsp>
                      <wps:cNvSpPr txBox="1"/>
                      <wps:spPr>
                        <a:xfrm>
                          <a:off x="0" y="0"/>
                          <a:ext cx="45720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henceforth be read, taken, and construed as an integral part of the Credit</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henceforth be read, taken, and construed as an integral part of the Credit</w:t>
                      </w:r>
                    </w:p>
                  </w:txbxContent>
                </v:textbox>
                <w10:wrap type="none"/>
              </v:rect>
            </w:pict>
          </mc:Fallback>
        </mc:AlternateContent>
      </w:r>
      <w:r>
        <mc:AlternateContent>
          <mc:Choice Requires="wps">
            <w:drawing>
              <wp:anchor behindDoc="0" distT="0" distB="0" distL="0" distR="0" simplePos="0" locked="0" layoutInCell="1" allowOverlap="1" relativeHeight="357">
                <wp:simplePos x="0" y="0"/>
                <wp:positionH relativeFrom="page">
                  <wp:posOffset>6858000</wp:posOffset>
                </wp:positionH>
                <wp:positionV relativeFrom="line">
                  <wp:posOffset>635</wp:posOffset>
                </wp:positionV>
                <wp:extent cx="38100" cy="175260"/>
                <wp:effectExtent l="0" t="0" r="0" b="0"/>
                <wp:wrapNone/>
                <wp:docPr id="383" name="Frame31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8">
                <wp:simplePos x="0" y="0"/>
                <wp:positionH relativeFrom="page">
                  <wp:posOffset>2286000</wp:posOffset>
                </wp:positionH>
                <wp:positionV relativeFrom="line">
                  <wp:posOffset>635</wp:posOffset>
                </wp:positionV>
                <wp:extent cx="4572000" cy="175260"/>
                <wp:effectExtent l="0" t="0" r="0" b="0"/>
                <wp:wrapNone/>
                <wp:docPr id="384" name="Frame319"/>
                <a:graphic xmlns:a="http://schemas.openxmlformats.org/drawingml/2006/main">
                  <a:graphicData uri="http://schemas.microsoft.com/office/word/2010/wordprocessingShape">
                    <wps:wsp>
                      <wps:cNvSpPr txBox="1"/>
                      <wps:spPr>
                        <a:xfrm>
                          <a:off x="0" y="0"/>
                          <a:ext cx="45720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Agreement; however, such amendments and supplements shall not operate</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Agreement; however, such amendments and supplements shall not operate</w:t>
                      </w:r>
                    </w:p>
                  </w:txbxContent>
                </v:textbox>
                <w10:wrap type="none"/>
              </v:rect>
            </w:pict>
          </mc:Fallback>
        </mc:AlternateContent>
      </w:r>
      <w:r>
        <mc:AlternateContent>
          <mc:Choice Requires="wps">
            <w:drawing>
              <wp:anchor behindDoc="0" distT="0" distB="0" distL="0" distR="0" simplePos="0" locked="0" layoutInCell="1" allowOverlap="1" relativeHeight="359">
                <wp:simplePos x="0" y="0"/>
                <wp:positionH relativeFrom="page">
                  <wp:posOffset>6858000</wp:posOffset>
                </wp:positionH>
                <wp:positionV relativeFrom="line">
                  <wp:posOffset>635</wp:posOffset>
                </wp:positionV>
                <wp:extent cx="38100" cy="175260"/>
                <wp:effectExtent l="0" t="0" r="0" b="0"/>
                <wp:wrapNone/>
                <wp:docPr id="385" name="Frame32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0">
                <wp:simplePos x="0" y="0"/>
                <wp:positionH relativeFrom="page">
                  <wp:posOffset>2286000</wp:posOffset>
                </wp:positionH>
                <wp:positionV relativeFrom="line">
                  <wp:posOffset>635</wp:posOffset>
                </wp:positionV>
                <wp:extent cx="4570730" cy="175260"/>
                <wp:effectExtent l="0" t="0" r="0" b="0"/>
                <wp:wrapNone/>
                <wp:docPr id="386" name="Frame311"/>
                <a:graphic xmlns:a="http://schemas.openxmlformats.org/drawingml/2006/main">
                  <a:graphicData uri="http://schemas.microsoft.com/office/word/2010/wordprocessingShape">
                    <wps:wsp>
                      <wps:cNvSpPr txBox="1"/>
                      <wps:spPr>
                        <a:xfrm>
                          <a:off x="0" y="0"/>
                          <a:ext cx="45707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herein. Upon the Amendment Effective Date, or as otherwise set forth</w:t>
                            </w:r>
                          </w:p>
                        </w:txbxContent>
                      </wps:txbx>
                      <wps:bodyPr anchor="t" lIns="0" tIns="0" rIns="0" bIns="0">
                        <a:noAutofit/>
                      </wps:bodyPr>
                    </wps:wsp>
                  </a:graphicData>
                </a:graphic>
              </wp:anchor>
            </w:drawing>
          </mc:Choice>
          <mc:Fallback>
            <w:pict>
              <v:rect style="position:absolute;rotation:-0;width:359.9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herein. Upon the Amendment Effective Date, or as otherwise set forth</w:t>
                      </w:r>
                    </w:p>
                  </w:txbxContent>
                </v:textbox>
                <w10:wrap type="none"/>
              </v:rect>
            </w:pict>
          </mc:Fallback>
        </mc:AlternateContent>
      </w:r>
      <w:r>
        <mc:AlternateContent>
          <mc:Choice Requires="wps">
            <w:drawing>
              <wp:anchor behindDoc="0" distT="0" distB="0" distL="0" distR="0" simplePos="0" locked="0" layoutInCell="1" allowOverlap="1" relativeHeight="361">
                <wp:simplePos x="0" y="0"/>
                <wp:positionH relativeFrom="page">
                  <wp:posOffset>6856730</wp:posOffset>
                </wp:positionH>
                <wp:positionV relativeFrom="line">
                  <wp:posOffset>635</wp:posOffset>
                </wp:positionV>
                <wp:extent cx="38100" cy="175260"/>
                <wp:effectExtent l="0" t="0" r="0" b="0"/>
                <wp:wrapNone/>
                <wp:docPr id="387" name="Frame32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2">
                <wp:simplePos x="0" y="0"/>
                <wp:positionH relativeFrom="page">
                  <wp:posOffset>2286000</wp:posOffset>
                </wp:positionH>
                <wp:positionV relativeFrom="line">
                  <wp:posOffset>635</wp:posOffset>
                </wp:positionV>
                <wp:extent cx="4570730" cy="175260"/>
                <wp:effectExtent l="0" t="0" r="0" b="0"/>
                <wp:wrapNone/>
                <wp:docPr id="388" name="Frame323"/>
                <a:graphic xmlns:a="http://schemas.openxmlformats.org/drawingml/2006/main">
                  <a:graphicData uri="http://schemas.microsoft.com/office/word/2010/wordprocessingShape">
                    <wps:wsp>
                      <wps:cNvSpPr txBox="1"/>
                      <wps:spPr>
                        <a:xfrm>
                          <a:off x="0" y="0"/>
                          <a:ext cx="457073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Credit Agreement. This Amendment shall not operate to eliminate or</w:t>
                            </w:r>
                          </w:p>
                        </w:txbxContent>
                      </wps:txbx>
                      <wps:bodyPr anchor="t" lIns="0" tIns="0" rIns="0" bIns="0">
                        <a:noAutofit/>
                      </wps:bodyPr>
                    </wps:wsp>
                  </a:graphicData>
                </a:graphic>
              </wp:anchor>
            </w:drawing>
          </mc:Choice>
          <mc:Fallback>
            <w:pict>
              <v:rect style="position:absolute;rotation:-0;width:359.9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Credit Agreement. This Amendment shall not operate to eliminate or</w:t>
                      </w:r>
                    </w:p>
                  </w:txbxContent>
                </v:textbox>
                <w10:wrap type="none"/>
              </v:rect>
            </w:pict>
          </mc:Fallback>
        </mc:AlternateContent>
      </w:r>
      <w:r>
        <mc:AlternateContent>
          <mc:Choice Requires="wps">
            <w:drawing>
              <wp:anchor behindDoc="0" distT="0" distB="0" distL="0" distR="0" simplePos="0" locked="0" layoutInCell="1" allowOverlap="1" relativeHeight="363">
                <wp:simplePos x="0" y="0"/>
                <wp:positionH relativeFrom="page">
                  <wp:posOffset>6856730</wp:posOffset>
                </wp:positionH>
                <wp:positionV relativeFrom="line">
                  <wp:posOffset>635</wp:posOffset>
                </wp:positionV>
                <wp:extent cx="38100" cy="175260"/>
                <wp:effectExtent l="0" t="0" r="0" b="0"/>
                <wp:wrapNone/>
                <wp:docPr id="389" name="Frame32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4">
                <wp:simplePos x="0" y="0"/>
                <wp:positionH relativeFrom="page">
                  <wp:posOffset>2286000</wp:posOffset>
                </wp:positionH>
                <wp:positionV relativeFrom="line">
                  <wp:posOffset>635</wp:posOffset>
                </wp:positionV>
                <wp:extent cx="4571365" cy="175260"/>
                <wp:effectExtent l="0" t="0" r="0" b="0"/>
                <wp:wrapNone/>
                <wp:docPr id="390" name="Frame325"/>
                <a:graphic xmlns:a="http://schemas.openxmlformats.org/drawingml/2006/main">
                  <a:graphicData uri="http://schemas.microsoft.com/office/word/2010/wordprocessingShape">
                    <wps:wsp>
                      <wps:cNvSpPr txBox="1"/>
                      <wps:spPr>
                        <a:xfrm>
                          <a:off x="0" y="0"/>
                          <a:ext cx="45713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discharge a party’s obligation to pay amounts accrued and owing prior to</w:t>
                            </w:r>
                          </w:p>
                        </w:txbxContent>
                      </wps:txbx>
                      <wps:bodyPr anchor="t" lIns="0" tIns="0" rIns="0" bIns="0">
                        <a:noAutofit/>
                      </wps:bodyPr>
                    </wps:wsp>
                  </a:graphicData>
                </a:graphic>
              </wp:anchor>
            </w:drawing>
          </mc:Choice>
          <mc:Fallback>
            <w:pict>
              <v:rect style="position:absolute;rotation:-0;width:359.95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discharge a party’s obligation to pay amounts accrued and owing prior to</w:t>
                      </w:r>
                    </w:p>
                  </w:txbxContent>
                </v:textbox>
                <w10:wrap type="none"/>
              </v:rect>
            </w:pict>
          </mc:Fallback>
        </mc:AlternateContent>
      </w:r>
      <w:r>
        <mc:AlternateContent>
          <mc:Choice Requires="wps">
            <w:drawing>
              <wp:anchor behindDoc="0" distT="0" distB="0" distL="0" distR="0" simplePos="0" locked="0" layoutInCell="1" allowOverlap="1" relativeHeight="365">
                <wp:simplePos x="0" y="0"/>
                <wp:positionH relativeFrom="page">
                  <wp:posOffset>6857365</wp:posOffset>
                </wp:positionH>
                <wp:positionV relativeFrom="line">
                  <wp:posOffset>635</wp:posOffset>
                </wp:positionV>
                <wp:extent cx="38100" cy="175260"/>
                <wp:effectExtent l="0" t="0" r="0" b="0"/>
                <wp:wrapNone/>
                <wp:docPr id="391" name="Frame32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6">
                <wp:simplePos x="0" y="0"/>
                <wp:positionH relativeFrom="page">
                  <wp:posOffset>2286000</wp:posOffset>
                </wp:positionH>
                <wp:positionV relativeFrom="line">
                  <wp:posOffset>635</wp:posOffset>
                </wp:positionV>
                <wp:extent cx="4572000" cy="175260"/>
                <wp:effectExtent l="0" t="0" r="0" b="0"/>
                <wp:wrapNone/>
                <wp:docPr id="392" name="Frame327"/>
                <a:graphic xmlns:a="http://schemas.openxmlformats.org/drawingml/2006/main">
                  <a:graphicData uri="http://schemas.microsoft.com/office/word/2010/wordprocessingShape">
                    <wps:wsp>
                      <wps:cNvSpPr txBox="1"/>
                      <wps:spPr>
                        <a:xfrm>
                          <a:off x="0" y="0"/>
                          <a:ext cx="45720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Amendment Effective Date, which amounts shall be payable in</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the Amendment Effective Date, which amounts shall be payable in</w:t>
                      </w:r>
                    </w:p>
                  </w:txbxContent>
                </v:textbox>
                <w10:wrap type="none"/>
              </v:rect>
            </w:pict>
          </mc:Fallback>
        </mc:AlternateContent>
      </w:r>
      <w:r>
        <mc:AlternateContent>
          <mc:Choice Requires="wps">
            <w:drawing>
              <wp:anchor behindDoc="0" distT="0" distB="0" distL="0" distR="0" simplePos="0" locked="0" layoutInCell="1" allowOverlap="1" relativeHeight="367">
                <wp:simplePos x="0" y="0"/>
                <wp:positionH relativeFrom="page">
                  <wp:posOffset>6858000</wp:posOffset>
                </wp:positionH>
                <wp:positionV relativeFrom="line">
                  <wp:posOffset>635</wp:posOffset>
                </wp:positionV>
                <wp:extent cx="38100" cy="175260"/>
                <wp:effectExtent l="0" t="0" r="0" b="0"/>
                <wp:wrapNone/>
                <wp:docPr id="393" name="Frame32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8">
                <wp:simplePos x="0" y="0"/>
                <wp:positionH relativeFrom="page">
                  <wp:posOffset>2286000</wp:posOffset>
                </wp:positionH>
                <wp:positionV relativeFrom="line">
                  <wp:posOffset>635</wp:posOffset>
                </wp:positionV>
                <wp:extent cx="4571365" cy="175260"/>
                <wp:effectExtent l="0" t="0" r="0" b="0"/>
                <wp:wrapNone/>
                <wp:docPr id="394" name="Frame329"/>
                <a:graphic xmlns:a="http://schemas.openxmlformats.org/drawingml/2006/main">
                  <a:graphicData uri="http://schemas.microsoft.com/office/word/2010/wordprocessingShape">
                    <wps:wsp>
                      <wps:cNvSpPr txBox="1"/>
                      <wps:spPr>
                        <a:xfrm>
                          <a:off x="0" y="0"/>
                          <a:ext cx="45713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accordance with the terms of the Credit Agreement without giving effect</w:t>
                            </w:r>
                          </w:p>
                        </w:txbxContent>
                      </wps:txbx>
                      <wps:bodyPr anchor="t" lIns="0" tIns="0" rIns="0" bIns="0">
                        <a:noAutofit/>
                      </wps:bodyPr>
                    </wps:wsp>
                  </a:graphicData>
                </a:graphic>
              </wp:anchor>
            </w:drawing>
          </mc:Choice>
          <mc:Fallback>
            <w:pict>
              <v:rect style="position:absolute;rotation:-0;width:359.95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accordance with the terms of the Credit Agreement without giving effect</w:t>
                      </w:r>
                    </w:p>
                  </w:txbxContent>
                </v:textbox>
                <w10:wrap type="none"/>
              </v:rect>
            </w:pict>
          </mc:Fallback>
        </mc:AlternateContent>
      </w:r>
      <w:r>
        <mc:AlternateContent>
          <mc:Choice Requires="wps">
            <w:drawing>
              <wp:anchor behindDoc="0" distT="0" distB="0" distL="0" distR="0" simplePos="0" locked="0" layoutInCell="1" allowOverlap="1" relativeHeight="341">
                <wp:simplePos x="0" y="0"/>
                <wp:positionH relativeFrom="page">
                  <wp:posOffset>2286000</wp:posOffset>
                </wp:positionH>
                <wp:positionV relativeFrom="line">
                  <wp:posOffset>635</wp:posOffset>
                </wp:positionV>
                <wp:extent cx="1337945" cy="175260"/>
                <wp:effectExtent l="0" t="0" r="0" b="0"/>
                <wp:wrapNone/>
                <wp:docPr id="395" name="Frame302"/>
                <a:graphic xmlns:a="http://schemas.openxmlformats.org/drawingml/2006/main">
                  <a:graphicData uri="http://schemas.microsoft.com/office/word/2010/wordprocessingShape">
                    <wps:wsp>
                      <wps:cNvSpPr txBox="1"/>
                      <wps:spPr>
                        <a:xfrm>
                          <a:off x="0" y="0"/>
                          <a:ext cx="133794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Effect of Amendment</w:t>
                            </w:r>
                          </w:p>
                        </w:txbxContent>
                      </wps:txbx>
                      <wps:bodyPr anchor="t" lIns="0" tIns="0" rIns="0" bIns="0">
                        <a:noAutofit/>
                      </wps:bodyPr>
                    </wps:wsp>
                  </a:graphicData>
                </a:graphic>
              </wp:anchor>
            </w:drawing>
          </mc:Choice>
          <mc:Fallback>
            <w:pict>
              <v:rect style="position:absolute;rotation:-0;width:105.35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Effect of Amendment</w:t>
                      </w:r>
                    </w:p>
                  </w:txbxContent>
                </v:textbox>
                <w10:wrap type="none"/>
              </v:rect>
            </w:pict>
          </mc:Fallback>
        </mc:AlternateContent>
      </w:r>
      <w:r>
        <mc:AlternateContent>
          <mc:Choice Requires="wps">
            <w:drawing>
              <wp:anchor behindDoc="0" distT="0" distB="0" distL="0" distR="0" simplePos="0" locked="0" layoutInCell="1" allowOverlap="1" relativeHeight="332">
                <wp:simplePos x="0" y="0"/>
                <wp:positionH relativeFrom="page">
                  <wp:posOffset>6857365</wp:posOffset>
                </wp:positionH>
                <wp:positionV relativeFrom="line">
                  <wp:posOffset>635</wp:posOffset>
                </wp:positionV>
                <wp:extent cx="38100" cy="175260"/>
                <wp:effectExtent l="0" t="0" r="0" b="0"/>
                <wp:wrapNone/>
                <wp:docPr id="396" name="Frame29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3">
                <wp:simplePos x="0" y="0"/>
                <wp:positionH relativeFrom="page">
                  <wp:posOffset>914400</wp:posOffset>
                </wp:positionH>
                <wp:positionV relativeFrom="line">
                  <wp:posOffset>635</wp:posOffset>
                </wp:positionV>
                <wp:extent cx="5943600" cy="175260"/>
                <wp:effectExtent l="0" t="0" r="0" b="0"/>
                <wp:wrapNone/>
                <wp:docPr id="397" name="Frame294"/>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color w:val="21AEFF"/>
                                <w:sz w:val="24"/>
                                <w:u w:val="single"/>
                              </w:rPr>
                            </w:pPr>
                            <w:r>
                              <w:rPr>
                                <w:rFonts w:ascii="Times New Roman;serif" w:hAnsi="Times New Roman;serif"/>
                                <w:b w:val="false"/>
                                <w:i w:val="false"/>
                                <w:caps w:val="false"/>
                                <w:smallCaps w:val="false"/>
                                <w:color w:val="21AEFF"/>
                                <w:sz w:val="24"/>
                                <w:u w:val="single"/>
                              </w:rPr>
                              <w:t>deposit in the Collection Account in respect of overdrafts, charge-backs, returned items, returns</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color w:val="21AEFF"/>
                          <w:sz w:val="24"/>
                          <w:u w:val="single"/>
                        </w:rPr>
                      </w:pPr>
                      <w:r>
                        <w:rPr>
                          <w:rFonts w:ascii="Times New Roman;serif" w:hAnsi="Times New Roman;serif"/>
                          <w:b w:val="false"/>
                          <w:i w:val="false"/>
                          <w:caps w:val="false"/>
                          <w:smallCaps w:val="false"/>
                          <w:color w:val="21AEFF"/>
                          <w:sz w:val="24"/>
                          <w:u w:val="single"/>
                        </w:rPr>
                        <w:t>deposit in the Collection Account in respect of overdrafts, charge-backs, returned items, returns</w:t>
                      </w:r>
                    </w:p>
                  </w:txbxContent>
                </v:textbox>
                <w10:wrap type="none"/>
              </v:rect>
            </w:pict>
          </mc:Fallback>
        </mc:AlternateContent>
      </w:r>
      <w:r>
        <mc:AlternateContent>
          <mc:Choice Requires="wps">
            <w:drawing>
              <wp:anchor behindDoc="0" distT="0" distB="0" distL="0" distR="0" simplePos="0" locked="0" layoutInCell="1" allowOverlap="1" relativeHeight="334">
                <wp:simplePos x="0" y="0"/>
                <wp:positionH relativeFrom="page">
                  <wp:posOffset>6858000</wp:posOffset>
                </wp:positionH>
                <wp:positionV relativeFrom="line">
                  <wp:posOffset>635</wp:posOffset>
                </wp:positionV>
                <wp:extent cx="38100" cy="175260"/>
                <wp:effectExtent l="0" t="0" r="0" b="0"/>
                <wp:wrapNone/>
                <wp:docPr id="398" name="Frame29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5">
                <wp:simplePos x="0" y="0"/>
                <wp:positionH relativeFrom="page">
                  <wp:posOffset>914400</wp:posOffset>
                </wp:positionH>
                <wp:positionV relativeFrom="line">
                  <wp:posOffset>635</wp:posOffset>
                </wp:positionV>
                <wp:extent cx="2346960" cy="350520"/>
                <wp:effectExtent l="0" t="0" r="0" b="0"/>
                <wp:wrapNone/>
                <wp:docPr id="399" name="Frame296"/>
                <a:graphic xmlns:a="http://schemas.openxmlformats.org/drawingml/2006/main">
                  <a:graphicData uri="http://schemas.microsoft.com/office/word/2010/wordprocessingShape">
                    <wps:wsp>
                      <wps:cNvSpPr txBox="1"/>
                      <wps:spPr>
                        <a:xfrm>
                          <a:off x="0" y="0"/>
                          <a:ext cx="234696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color w:val="21AEFF"/>
                                <w:sz w:val="24"/>
                                <w:u w:val="single"/>
                              </w:rPr>
                            </w:pPr>
                            <w:r>
                              <w:rPr>
                                <w:rFonts w:ascii="Times New Roman;serif" w:hAnsi="Times New Roman;serif"/>
                                <w:b w:val="false"/>
                                <w:i w:val="false"/>
                                <w:caps w:val="false"/>
                                <w:smallCaps w:val="false"/>
                                <w:color w:val="21AEFF"/>
                                <w:sz w:val="24"/>
                                <w:u w:val="single"/>
                              </w:rPr>
                              <w:t>and reversals and customary bank fees</w:t>
                            </w:r>
                          </w:p>
                        </w:txbxContent>
                      </wps:txbx>
                      <wps:bodyPr anchor="t" lIns="0" tIns="0" rIns="0" bIns="0">
                        <a:noAutofit/>
                      </wps:bodyPr>
                    </wps:wsp>
                  </a:graphicData>
                </a:graphic>
              </wp:anchor>
            </w:drawing>
          </mc:Choice>
          <mc:Fallback>
            <w:pict>
              <v:rect style="position:absolute;rotation:-0;width:184.8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color w:val="21AEFF"/>
                          <w:sz w:val="24"/>
                          <w:u w:val="single"/>
                        </w:rPr>
                      </w:pPr>
                      <w:r>
                        <w:rPr>
                          <w:rFonts w:ascii="Times New Roman;serif" w:hAnsi="Times New Roman;serif"/>
                          <w:b w:val="false"/>
                          <w:i w:val="false"/>
                          <w:caps w:val="false"/>
                          <w:smallCaps w:val="false"/>
                          <w:color w:val="21AEFF"/>
                          <w:sz w:val="24"/>
                          <w:u w:val="single"/>
                        </w:rPr>
                        <w:t>and reversals and customary bank fees</w:t>
                      </w:r>
                    </w:p>
                  </w:txbxContent>
                </v:textbox>
                <w10:wrap type="none"/>
              </v:rect>
            </w:pict>
          </mc:Fallback>
        </mc:AlternateContent>
      </w:r>
      <w:r>
        <mc:AlternateContent>
          <mc:Choice Requires="wps">
            <w:drawing>
              <wp:anchor behindDoc="0" distT="0" distB="0" distL="0" distR="0" simplePos="0" locked="0" layoutInCell="1" allowOverlap="1" relativeHeight="336">
                <wp:simplePos x="0" y="0"/>
                <wp:positionH relativeFrom="page">
                  <wp:posOffset>3261360</wp:posOffset>
                </wp:positionH>
                <wp:positionV relativeFrom="line">
                  <wp:posOffset>635</wp:posOffset>
                </wp:positionV>
                <wp:extent cx="38100" cy="175260"/>
                <wp:effectExtent l="0" t="0" r="0" b="0"/>
                <wp:wrapNone/>
                <wp:docPr id="400" name="Frame29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56.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37">
                <wp:simplePos x="0" y="0"/>
                <wp:positionH relativeFrom="page">
                  <wp:posOffset>1143000</wp:posOffset>
                </wp:positionH>
                <wp:positionV relativeFrom="line">
                  <wp:posOffset>635</wp:posOffset>
                </wp:positionV>
                <wp:extent cx="114300" cy="175260"/>
                <wp:effectExtent l="0" t="0" r="0" b="0"/>
                <wp:wrapNone/>
                <wp:docPr id="401" name="Frame298"/>
                <a:graphic xmlns:a="http://schemas.openxmlformats.org/drawingml/2006/main">
                  <a:graphicData uri="http://schemas.microsoft.com/office/word/2010/wordprocessingShape">
                    <wps:wsp>
                      <wps:cNvSpPr txBox="1"/>
                      <wps:spPr>
                        <a:xfrm>
                          <a:off x="0" y="0"/>
                          <a:ext cx="1143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2.</w:t>
                            </w:r>
                          </w:p>
                        </w:txbxContent>
                      </wps:txbx>
                      <wps:bodyPr anchor="t" lIns="0" tIns="0" rIns="0" bIns="0">
                        <a:noAutofit/>
                      </wps:bodyPr>
                    </wps:wsp>
                  </a:graphicData>
                </a:graphic>
              </wp:anchor>
            </w:drawing>
          </mc:Choice>
          <mc:Fallback>
            <w:pict>
              <v:rect style="position:absolute;rotation:-0;width:9pt;height:13.8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2.</w:t>
                      </w:r>
                    </w:p>
                  </w:txbxContent>
                </v:textbox>
                <w10:wrap type="none"/>
              </v:rect>
            </w:pict>
          </mc:Fallback>
        </mc:AlternateContent>
      </w:r>
      <w:r>
        <mc:AlternateContent>
          <mc:Choice Requires="wps">
            <w:drawing>
              <wp:anchor behindDoc="0" distT="0" distB="0" distL="0" distR="0" simplePos="0" locked="0" layoutInCell="1" allowOverlap="1" relativeHeight="338">
                <wp:simplePos x="0" y="0"/>
                <wp:positionH relativeFrom="page">
                  <wp:posOffset>1371600</wp:posOffset>
                </wp:positionH>
                <wp:positionV relativeFrom="line">
                  <wp:posOffset>635</wp:posOffset>
                </wp:positionV>
                <wp:extent cx="879475" cy="350520"/>
                <wp:effectExtent l="0" t="0" r="0" b="0"/>
                <wp:wrapNone/>
                <wp:docPr id="402" name="Frame299"/>
                <a:graphic xmlns:a="http://schemas.openxmlformats.org/drawingml/2006/main">
                  <a:graphicData uri="http://schemas.microsoft.com/office/word/2010/wordprocessingShape">
                    <wps:wsp>
                      <wps:cNvSpPr txBox="1"/>
                      <wps:spPr>
                        <a:xfrm>
                          <a:off x="0" y="0"/>
                          <a:ext cx="879475"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Miscellaneous</w:t>
                            </w:r>
                          </w:p>
                        </w:txbxContent>
                      </wps:txbx>
                      <wps:bodyPr anchor="t" lIns="0" tIns="0" rIns="0" bIns="0">
                        <a:noAutofit/>
                      </wps:bodyPr>
                    </wps:wsp>
                  </a:graphicData>
                </a:graphic>
              </wp:anchor>
            </w:drawing>
          </mc:Choice>
          <mc:Fallback>
            <w:pict>
              <v:rect style="position:absolute;rotation:-0;width:69.2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u w:val="single"/>
                        </w:rPr>
                      </w:pPr>
                      <w:r>
                        <w:rPr>
                          <w:rFonts w:ascii="Times New Roman;serif" w:hAnsi="Times New Roman;serif"/>
                          <w:b w:val="false"/>
                          <w:i w:val="false"/>
                          <w:caps w:val="false"/>
                          <w:smallCaps w:val="false"/>
                          <w:sz w:val="24"/>
                          <w:u w:val="single"/>
                        </w:rPr>
                        <w:t>Miscellaneous</w:t>
                      </w:r>
                    </w:p>
                  </w:txbxContent>
                </v:textbox>
                <w10:wrap type="none"/>
              </v:rect>
            </w:pict>
          </mc:Fallback>
        </mc:AlternateContent>
      </w:r>
      <w:r>
        <mc:AlternateContent>
          <mc:Choice Requires="wps">
            <w:drawing>
              <wp:anchor behindDoc="0" distT="0" distB="0" distL="0" distR="0" simplePos="0" locked="0" layoutInCell="1" allowOverlap="1" relativeHeight="339">
                <wp:simplePos x="0" y="0"/>
                <wp:positionH relativeFrom="page">
                  <wp:posOffset>2251075</wp:posOffset>
                </wp:positionH>
                <wp:positionV relativeFrom="line">
                  <wp:posOffset>635</wp:posOffset>
                </wp:positionV>
                <wp:extent cx="38100" cy="175260"/>
                <wp:effectExtent l="0" t="0" r="0" b="0"/>
                <wp:wrapNone/>
                <wp:docPr id="403" name="Frame30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177.2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40">
                <wp:simplePos x="0" y="0"/>
                <wp:positionH relativeFrom="page">
                  <wp:posOffset>1828800</wp:posOffset>
                </wp:positionH>
                <wp:positionV relativeFrom="line">
                  <wp:posOffset>635</wp:posOffset>
                </wp:positionV>
                <wp:extent cx="168910" cy="350520"/>
                <wp:effectExtent l="0" t="0" r="0" b="0"/>
                <wp:wrapNone/>
                <wp:docPr id="404" name="Frame301"/>
                <a:graphic xmlns:a="http://schemas.openxmlformats.org/drawingml/2006/main">
                  <a:graphicData uri="http://schemas.microsoft.com/office/word/2010/wordprocessingShape">
                    <wps:wsp>
                      <wps:cNvSpPr txBox="1"/>
                      <wps:spPr>
                        <a:xfrm>
                          <a:off x="0" y="0"/>
                          <a:ext cx="16891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w:t>
                            </w:r>
                          </w:p>
                        </w:txbxContent>
                      </wps:txbx>
                      <wps:bodyPr anchor="t" lIns="0" tIns="0" rIns="0" bIns="0">
                        <a:noAutofit/>
                      </wps:bodyPr>
                    </wps:wsp>
                  </a:graphicData>
                </a:graphic>
              </wp:anchor>
            </w:drawing>
          </mc:Choice>
          <mc:Fallback>
            <w:pict>
              <v:rect style="position:absolute;rotation:-0;width:13.3pt;height:27.6pt;mso-wrap-distance-left:0pt;mso-wrap-distance-right:0pt;mso-wrap-distance-top:0pt;mso-wrap-distance-bottom:0pt;margin-top:0pt;mso-position-vertical:top;mso-position-vertical-relative:text;margin-left:144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w:t>
                      </w:r>
                    </w:p>
                  </w:txbxContent>
                </v:textbox>
                <w10:wrap type="none"/>
              </v:rect>
            </w:pict>
          </mc:Fallback>
        </mc:AlternateContent>
      </w:r>
      <w:r>
        <mc:AlternateContent>
          <mc:Choice Requires="wps">
            <w:drawing>
              <wp:anchor behindDoc="0" distT="0" distB="0" distL="0" distR="0" simplePos="0" locked="0" layoutInCell="1" allowOverlap="1" relativeHeight="293">
                <wp:simplePos x="0" y="0"/>
                <wp:positionH relativeFrom="page">
                  <wp:posOffset>1371600</wp:posOffset>
                </wp:positionH>
                <wp:positionV relativeFrom="line">
                  <wp:posOffset>635</wp:posOffset>
                </wp:positionV>
                <wp:extent cx="5485765" cy="175260"/>
                <wp:effectExtent l="0" t="0" r="0" b="0"/>
                <wp:wrapNone/>
                <wp:docPr id="405" name="Frame254"/>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 consideration of the terms, conditions and mutual covenants and agreements herein</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 consideration of the terms, conditions and mutual covenants and agreements herein</w:t>
                      </w:r>
                    </w:p>
                  </w:txbxContent>
                </v:textbox>
                <w10:wrap type="none"/>
              </v:rect>
            </w:pict>
          </mc:Fallback>
        </mc:AlternateContent>
      </w:r>
      <w:r>
        <mc:AlternateContent>
          <mc:Choice Requires="wps">
            <w:drawing>
              <wp:anchor behindDoc="0" distT="0" distB="0" distL="0" distR="0" simplePos="0" locked="0" layoutInCell="1" allowOverlap="1" relativeHeight="342">
                <wp:simplePos x="0" y="0"/>
                <wp:positionH relativeFrom="page">
                  <wp:posOffset>3623945</wp:posOffset>
                </wp:positionH>
                <wp:positionV relativeFrom="line">
                  <wp:posOffset>635</wp:posOffset>
                </wp:positionV>
                <wp:extent cx="3232785" cy="175260"/>
                <wp:effectExtent l="0" t="0" r="0" b="0"/>
                <wp:wrapNone/>
                <wp:docPr id="406" name="Frame303"/>
                <a:graphic xmlns:a="http://schemas.openxmlformats.org/drawingml/2006/main">
                  <a:graphicData uri="http://schemas.microsoft.com/office/word/2010/wordprocessingShape">
                    <wps:wsp>
                      <wps:cNvSpPr txBox="1"/>
                      <wps:spPr>
                        <a:xfrm>
                          <a:off x="0" y="0"/>
                          <a:ext cx="323278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Except as expressly amended and/or superseded by</w:t>
                            </w:r>
                          </w:p>
                        </w:txbxContent>
                      </wps:txbx>
                      <wps:bodyPr anchor="t" lIns="0" tIns="0" rIns="0" bIns="0">
                        <a:noAutofit/>
                      </wps:bodyPr>
                    </wps:wsp>
                  </a:graphicData>
                </a:graphic>
              </wp:anchor>
            </w:drawing>
          </mc:Choice>
          <mc:Fallback>
            <w:pict>
              <v:rect style="position:absolute;rotation:-0;width:254.55pt;height:13.8pt;mso-wrap-distance-left:0pt;mso-wrap-distance-right:0pt;mso-wrap-distance-top:0pt;mso-wrap-distance-bottom:0pt;margin-top:0pt;mso-position-vertical:top;mso-position-vertical-relative:text;margin-left:285.35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 Except as expressly amended and/or superseded by</w:t>
                      </w:r>
                    </w:p>
                  </w:txbxContent>
                </v:textbox>
                <w10:wrap type="none"/>
              </v:rect>
            </w:pict>
          </mc:Fallback>
        </mc:AlternateContent>
      </w:r>
      <w:r>
        <mc:AlternateContent>
          <mc:Choice Requires="wps">
            <w:drawing>
              <wp:anchor behindDoc="0" distT="0" distB="0" distL="0" distR="0" simplePos="0" locked="0" layoutInCell="1" allowOverlap="1" relativeHeight="343">
                <wp:simplePos x="0" y="0"/>
                <wp:positionH relativeFrom="page">
                  <wp:posOffset>6856730</wp:posOffset>
                </wp:positionH>
                <wp:positionV relativeFrom="line">
                  <wp:posOffset>635</wp:posOffset>
                </wp:positionV>
                <wp:extent cx="38100" cy="175260"/>
                <wp:effectExtent l="0" t="0" r="0" b="0"/>
                <wp:wrapNone/>
                <wp:docPr id="407" name="Frame30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4">
                <wp:simplePos x="0" y="0"/>
                <wp:positionH relativeFrom="page">
                  <wp:posOffset>2286000</wp:posOffset>
                </wp:positionH>
                <wp:positionV relativeFrom="line">
                  <wp:posOffset>635</wp:posOffset>
                </wp:positionV>
                <wp:extent cx="4571365" cy="175260"/>
                <wp:effectExtent l="0" t="0" r="0" b="0"/>
                <wp:wrapNone/>
                <wp:docPr id="408" name="Frame305"/>
                <a:graphic xmlns:a="http://schemas.openxmlformats.org/drawingml/2006/main">
                  <a:graphicData uri="http://schemas.microsoft.com/office/word/2010/wordprocessingShape">
                    <wps:wsp>
                      <wps:cNvSpPr txBox="1"/>
                      <wps:spPr>
                        <a:xfrm>
                          <a:off x="0" y="0"/>
                          <a:ext cx="45713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this Amendment, the Credit Agreement shall remain in full force and</w:t>
                            </w:r>
                          </w:p>
                        </w:txbxContent>
                      </wps:txbx>
                      <wps:bodyPr anchor="t" lIns="0" tIns="0" rIns="0" bIns="0">
                        <a:noAutofit/>
                      </wps:bodyPr>
                    </wps:wsp>
                  </a:graphicData>
                </a:graphic>
              </wp:anchor>
            </w:drawing>
          </mc:Choice>
          <mc:Fallback>
            <w:pict>
              <v:rect style="position:absolute;rotation:-0;width:359.95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this Amendment, the Credit Agreement shall remain in full force and</w:t>
                      </w:r>
                    </w:p>
                  </w:txbxContent>
                </v:textbox>
                <w10:wrap type="none"/>
              </v:rect>
            </w:pict>
          </mc:Fallback>
        </mc:AlternateContent>
      </w:r>
      <w:r>
        <mc:AlternateContent>
          <mc:Choice Requires="wps">
            <w:drawing>
              <wp:anchor behindDoc="0" distT="0" distB="0" distL="0" distR="0" simplePos="0" locked="0" layoutInCell="1" allowOverlap="1" relativeHeight="345">
                <wp:simplePos x="0" y="0"/>
                <wp:positionH relativeFrom="page">
                  <wp:posOffset>6857365</wp:posOffset>
                </wp:positionH>
                <wp:positionV relativeFrom="line">
                  <wp:posOffset>635</wp:posOffset>
                </wp:positionV>
                <wp:extent cx="38100" cy="175260"/>
                <wp:effectExtent l="0" t="0" r="0" b="0"/>
                <wp:wrapNone/>
                <wp:docPr id="409" name="Frame30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6">
                <wp:simplePos x="0" y="0"/>
                <wp:positionH relativeFrom="page">
                  <wp:posOffset>2286000</wp:posOffset>
                </wp:positionH>
                <wp:positionV relativeFrom="line">
                  <wp:posOffset>635</wp:posOffset>
                </wp:positionV>
                <wp:extent cx="4571365" cy="175260"/>
                <wp:effectExtent l="0" t="0" r="0" b="0"/>
                <wp:wrapNone/>
                <wp:docPr id="410" name="Frame307"/>
                <a:graphic xmlns:a="http://schemas.openxmlformats.org/drawingml/2006/main">
                  <a:graphicData uri="http://schemas.microsoft.com/office/word/2010/wordprocessingShape">
                    <wps:wsp>
                      <wps:cNvSpPr txBox="1"/>
                      <wps:spPr>
                        <a:xfrm>
                          <a:off x="0" y="0"/>
                          <a:ext cx="45713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effect. This Amendment shall not constitute an amendment or waiver of</w:t>
                            </w:r>
                          </w:p>
                        </w:txbxContent>
                      </wps:txbx>
                      <wps:bodyPr anchor="t" lIns="0" tIns="0" rIns="0" bIns="0">
                        <a:noAutofit/>
                      </wps:bodyPr>
                    </wps:wsp>
                  </a:graphicData>
                </a:graphic>
              </wp:anchor>
            </w:drawing>
          </mc:Choice>
          <mc:Fallback>
            <w:pict>
              <v:rect style="position:absolute;rotation:-0;width:359.95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effect. This Amendment shall not constitute an amendment or waiver of</w:t>
                      </w:r>
                    </w:p>
                  </w:txbxContent>
                </v:textbox>
                <w10:wrap type="none"/>
              </v:rect>
            </w:pict>
          </mc:Fallback>
        </mc:AlternateContent>
      </w:r>
      <w:r>
        <mc:AlternateContent>
          <mc:Choice Requires="wps">
            <w:drawing>
              <wp:anchor behindDoc="0" distT="0" distB="0" distL="0" distR="0" simplePos="0" locked="0" layoutInCell="1" allowOverlap="1" relativeHeight="347">
                <wp:simplePos x="0" y="0"/>
                <wp:positionH relativeFrom="page">
                  <wp:posOffset>6857365</wp:posOffset>
                </wp:positionH>
                <wp:positionV relativeFrom="line">
                  <wp:posOffset>635</wp:posOffset>
                </wp:positionV>
                <wp:extent cx="38100" cy="175260"/>
                <wp:effectExtent l="0" t="0" r="0" b="0"/>
                <wp:wrapNone/>
                <wp:docPr id="411" name="Frame30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8">
                <wp:simplePos x="0" y="0"/>
                <wp:positionH relativeFrom="page">
                  <wp:posOffset>2286000</wp:posOffset>
                </wp:positionH>
                <wp:positionV relativeFrom="line">
                  <wp:posOffset>635</wp:posOffset>
                </wp:positionV>
                <wp:extent cx="4572000" cy="175260"/>
                <wp:effectExtent l="0" t="0" r="0" b="0"/>
                <wp:wrapNone/>
                <wp:docPr id="412" name="Frame309"/>
                <a:graphic xmlns:a="http://schemas.openxmlformats.org/drawingml/2006/main">
                  <a:graphicData uri="http://schemas.microsoft.com/office/word/2010/wordprocessingShape">
                    <wps:wsp>
                      <wps:cNvSpPr txBox="1"/>
                      <wps:spPr>
                        <a:xfrm>
                          <a:off x="0" y="0"/>
                          <a:ext cx="45720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any provision of the Credit Agreement, except as expressly set forth</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180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any provision of the Credit Agreement, except as expressly set forth</w:t>
                      </w:r>
                    </w:p>
                  </w:txbxContent>
                </v:textbox>
                <w10:wrap type="none"/>
              </v:rect>
            </w:pict>
          </mc:Fallback>
        </mc:AlternateContent>
      </w:r>
      <w:r>
        <mc:AlternateContent>
          <mc:Choice Requires="wps">
            <w:drawing>
              <wp:anchor behindDoc="0" distT="0" distB="0" distL="0" distR="0" simplePos="0" locked="0" layoutInCell="1" allowOverlap="1" relativeHeight="349">
                <wp:simplePos x="0" y="0"/>
                <wp:positionH relativeFrom="page">
                  <wp:posOffset>6858000</wp:posOffset>
                </wp:positionH>
                <wp:positionV relativeFrom="line">
                  <wp:posOffset>635</wp:posOffset>
                </wp:positionV>
                <wp:extent cx="38100" cy="175260"/>
                <wp:effectExtent l="0" t="0" r="0" b="0"/>
                <wp:wrapNone/>
                <wp:docPr id="413" name="Frame31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val="false"/>
          <w:i/>
          <w:strike w:val="false"/>
          <w:dstrike w:val="false"/>
          <w:sz w:val="20"/>
          <w:u w:val="none"/>
          <w:effect w:val="none"/>
          <w:shd w:fill="E4E4E4" w:val="clear"/>
        </w:rPr>
      </w:pPr>
      <w:r>
        <w:rPr>
          <w:rFonts w:ascii="Times New Roman;serif" w:hAnsi="Times New Roman;serif"/>
          <w:b w:val="false"/>
          <w:i/>
          <w:strike w:val="false"/>
          <w:dstrike w:val="false"/>
          <w:sz w:val="20"/>
          <w:u w:val="none"/>
          <w:effect w:val="none"/>
          <w:shd w:fill="E4E4E4" w:val="clear"/>
        </w:rPr>
        <w:t>[signature page to First Amendment to Credit Agreement]</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6"/>
          <w:u w:val="none"/>
          <w:effect w:val="none"/>
          <w:shd w:fill="E4E4E4" w:val="clear"/>
        </w:rPr>
      </w:pPr>
      <w:r>
        <w:rPr>
          <w:rFonts w:ascii="Times New Roman;serif" w:hAnsi="Times New Roman;serif"/>
          <w:b w:val="false"/>
          <w:i w:val="false"/>
          <w:caps w:val="false"/>
          <w:smallCaps w:val="false"/>
          <w:strike w:val="false"/>
          <w:dstrike w:val="false"/>
          <w:sz w:val="16"/>
          <w:u w:val="none"/>
          <w:effect w:val="none"/>
          <w:shd w:fill="E4E4E4" w:val="clear"/>
        </w:rPr>
        <w:t>1751817926 25792241</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i w:val="false"/>
          <w:caps w:val="false"/>
          <w:smallCaps w:val="false"/>
          <w:strike w:val="false"/>
          <w:dstrike w:val="false"/>
          <w:sz w:val="24"/>
          <w:u w:val="none"/>
          <w:effect w:val="none"/>
          <w:shd w:fill="E4E4E4" w:val="clear"/>
        </w:rPr>
        <w:t>GEMINI CAPRICORN ONE, LLC</w:t>
      </w:r>
      <w:r>
        <w:rPr>
          <w:rFonts w:ascii="Times New Roman;serif" w:hAnsi="Times New Roman;serif"/>
          <w:b w:val="false"/>
          <w:i w:val="false"/>
          <w:caps w:val="false"/>
          <w:smallCaps w:val="false"/>
          <w:strike w:val="false"/>
          <w:dstrike w:val="false"/>
          <w:sz w:val="24"/>
          <w:u w:val="none"/>
          <w:effect w:val="none"/>
          <w:shd w:fill="E4E4E4" w:val="clear"/>
        </w:rPr>
        <w:t xml:space="preserve">, as the </w:t>
      </w:r>
      <w:r>
        <mc:AlternateContent>
          <mc:Choice Requires="wps">
            <w:drawing>
              <wp:anchor behindDoc="0" distT="0" distB="0" distL="0" distR="0" simplePos="0" locked="0" layoutInCell="1" allowOverlap="1" relativeHeight="445">
                <wp:simplePos x="0" y="0"/>
                <wp:positionH relativeFrom="page">
                  <wp:posOffset>1371600</wp:posOffset>
                </wp:positionH>
                <wp:positionV relativeFrom="line">
                  <wp:posOffset>635</wp:posOffset>
                </wp:positionV>
                <wp:extent cx="5486400" cy="175260"/>
                <wp:effectExtent l="0" t="0" r="0" b="0"/>
                <wp:wrapNone/>
                <wp:docPr id="414" name="Frame407"/>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 WITNESS WHEREOF, the parties hereto have caused this Amendment to be</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IN WITNESS WHEREOF, the parties hereto have caused this Amendment to be</w:t>
                      </w:r>
                    </w:p>
                  </w:txbxContent>
                </v:textbox>
                <w10:wrap type="none"/>
              </v:rect>
            </w:pict>
          </mc:Fallback>
        </mc:AlternateContent>
      </w:r>
      <w:r>
        <mc:AlternateContent>
          <mc:Choice Requires="wps">
            <w:drawing>
              <wp:anchor behindDoc="0" distT="0" distB="0" distL="0" distR="0" simplePos="0" locked="0" layoutInCell="1" allowOverlap="1" relativeHeight="446">
                <wp:simplePos x="0" y="0"/>
                <wp:positionH relativeFrom="page">
                  <wp:posOffset>6858000</wp:posOffset>
                </wp:positionH>
                <wp:positionV relativeFrom="line">
                  <wp:posOffset>635</wp:posOffset>
                </wp:positionV>
                <wp:extent cx="38100" cy="175260"/>
                <wp:effectExtent l="0" t="0" r="0" b="0"/>
                <wp:wrapNone/>
                <wp:docPr id="415" name="Frame40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47">
                <wp:simplePos x="0" y="0"/>
                <wp:positionH relativeFrom="page">
                  <wp:posOffset>914400</wp:posOffset>
                </wp:positionH>
                <wp:positionV relativeFrom="line">
                  <wp:posOffset>635</wp:posOffset>
                </wp:positionV>
                <wp:extent cx="4579620" cy="350520"/>
                <wp:effectExtent l="0" t="0" r="0" b="0"/>
                <wp:wrapNone/>
                <wp:docPr id="416" name="Frame409"/>
                <a:graphic xmlns:a="http://schemas.openxmlformats.org/drawingml/2006/main">
                  <a:graphicData uri="http://schemas.microsoft.com/office/word/2010/wordprocessingShape">
                    <wps:wsp>
                      <wps:cNvSpPr txBox="1"/>
                      <wps:spPr>
                        <a:xfrm>
                          <a:off x="0" y="0"/>
                          <a:ext cx="457962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executed by their duly authorized officers as of the date first written above.</w:t>
                            </w:r>
                          </w:p>
                        </w:txbxContent>
                      </wps:txbx>
                      <wps:bodyPr anchor="t" lIns="0" tIns="0" rIns="0" bIns="0">
                        <a:noAutofit/>
                      </wps:bodyPr>
                    </wps:wsp>
                  </a:graphicData>
                </a:graphic>
              </wp:anchor>
            </w:drawing>
          </mc:Choice>
          <mc:Fallback>
            <w:pict>
              <v:rect style="position:absolute;rotation:-0;width:360.6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executed by their duly authorized officers as of the date first written above.</w:t>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Borrower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By:</w:t>
      </w:r>
    </w:p>
    <w:p>
      <w:pPr>
        <w:pStyle w:val="TextBody"/>
        <w:bidi w:val="0"/>
        <w:spacing w:lineRule="atLeast" w:line="166" w:before="0" w:after="0"/>
        <w:jc w:val="left"/>
        <w:rPr>
          <w:caps w:val="false"/>
          <w:smallCaps w:val="false"/>
          <w:strike w:val="false"/>
          <w:dstrike w:val="false"/>
          <w:u w:val="none"/>
          <w:effect w:val="none"/>
          <w:shd w:fill="E4E4E4" w:val="clear"/>
        </w:rPr>
      </w:pPr>
      <w:r>
        <w:rPr>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Name: Marshall Beard</w:t>
      </w:r>
    </w:p>
    <w:p>
      <w:pPr>
        <w:pStyle w:val="TextBody"/>
        <w:bidi w:val="0"/>
        <w:spacing w:lineRule="atLeast" w:line="166" w:before="0" w:after="0"/>
        <w:jc w:val="left"/>
        <w:rPr>
          <w:caps w:val="false"/>
          <w:smallCaps w:val="false"/>
          <w:strike w:val="false"/>
          <w:dstrike w:val="false"/>
          <w:u w:val="none"/>
          <w:effect w:val="none"/>
          <w:shd w:fill="E4E4E4" w:val="clear"/>
        </w:rPr>
      </w:pPr>
      <w:r>
        <w:rPr>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Title: Manager</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i w:val="false"/>
          <w:caps w:val="false"/>
          <w:smallCaps w:val="false"/>
          <w:strike w:val="false"/>
          <w:dstrike w:val="false"/>
          <w:sz w:val="24"/>
          <w:u w:val="none"/>
          <w:effect w:val="none"/>
          <w:shd w:fill="E4E4E4" w:val="clear"/>
        </w:rPr>
        <w:t>GEMINI CONSTELLATION, LLC</w:t>
      </w:r>
      <w:r>
        <w:rPr>
          <w:rFonts w:ascii="Times New Roman;serif" w:hAnsi="Times New Roman;serif"/>
          <w:b w:val="false"/>
          <w:i w:val="false"/>
          <w:caps w:val="false"/>
          <w:smallCaps w:val="false"/>
          <w:strike w:val="false"/>
          <w:dstrike w:val="false"/>
          <w:sz w:val="24"/>
          <w:u w:val="none"/>
          <w:effect w:val="none"/>
          <w:shd w:fill="E4E4E4" w:val="clear"/>
        </w:rPr>
        <w:t xml:space="preserve">, as the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Servicer</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By: </w:t>
      </w:r>
    </w:p>
    <w:p>
      <w:pPr>
        <w:pStyle w:val="TextBody"/>
        <w:bidi w:val="0"/>
        <w:spacing w:lineRule="atLeast" w:line="166" w:before="0" w:after="0"/>
        <w:jc w:val="left"/>
        <w:rPr>
          <w:caps w:val="false"/>
          <w:smallCaps w:val="false"/>
          <w:strike w:val="false"/>
          <w:dstrike w:val="false"/>
          <w:u w:val="none"/>
          <w:effect w:val="none"/>
          <w:shd w:fill="E4E4E4" w:val="clear"/>
        </w:rPr>
      </w:pPr>
      <w:r>
        <w:rPr>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Name: Dan Chen</w:t>
      </w:r>
    </w:p>
    <w:p>
      <w:pPr>
        <w:pStyle w:val="TextBody"/>
        <w:bidi w:val="0"/>
        <w:spacing w:lineRule="atLeast" w:line="166" w:before="0" w:after="0"/>
        <w:jc w:val="left"/>
        <w:rPr>
          <w:caps w:val="false"/>
          <w:smallCaps w:val="false"/>
          <w:strike w:val="false"/>
          <w:dstrike w:val="false"/>
          <w:u w:val="none"/>
          <w:effect w:val="none"/>
          <w:shd w:fill="E4E4E4" w:val="clear"/>
        </w:rPr>
      </w:pPr>
      <w:r>
        <w:rPr>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Title: Manager</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i w:val="false"/>
          <w:caps w:val="false"/>
          <w:smallCaps w:val="false"/>
          <w:strike w:val="false"/>
          <w:dstrike w:val="false"/>
          <w:sz w:val="24"/>
          <w:u w:val="none"/>
          <w:effect w:val="none"/>
          <w:shd w:fill="E4E4E4" w:val="clear"/>
        </w:rPr>
        <w:t>RIPPLE LABS INC.</w:t>
      </w:r>
      <w:r>
        <w:rPr>
          <w:rFonts w:ascii="Times New Roman;serif" w:hAnsi="Times New Roman;serif"/>
          <w:b w:val="false"/>
          <w:i w:val="false"/>
          <w:caps w:val="false"/>
          <w:smallCaps w:val="false"/>
          <w:strike w:val="false"/>
          <w:dstrike w:val="false"/>
          <w:sz w:val="24"/>
          <w:u w:val="none"/>
          <w:effect w:val="none"/>
          <w:shd w:fill="E4E4E4" w:val="clear"/>
        </w:rPr>
        <w:t>, as the Lender</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By:</w:t>
      </w:r>
    </w:p>
    <w:p>
      <w:pPr>
        <w:pStyle w:val="TextBody"/>
        <w:bidi w:val="0"/>
        <w:spacing w:lineRule="atLeast" w:line="166" w:before="0" w:after="0"/>
        <w:jc w:val="left"/>
        <w:rPr>
          <w:caps w:val="false"/>
          <w:smallCaps w:val="false"/>
          <w:strike w:val="false"/>
          <w:dstrike w:val="false"/>
          <w:u w:val="none"/>
          <w:effect w:val="none"/>
          <w:shd w:fill="E4E4E4" w:val="clear"/>
        </w:rPr>
      </w:pPr>
      <w:r>
        <w:rPr>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Name: Sean Belmont</w:t>
      </w:r>
    </w:p>
    <w:p>
      <w:pPr>
        <w:pStyle w:val="TextBody"/>
        <w:bidi w:val="0"/>
        <w:spacing w:lineRule="atLeast" w:line="166"/>
        <w:jc w:val="left"/>
        <w:rPr>
          <w:caps w:val="false"/>
          <w:smallCaps w:val="false"/>
          <w:strike w:val="false"/>
          <w:dstrike w:val="false"/>
          <w:u w:val="none"/>
          <w:effect w:val="none"/>
          <w:shd w:fill="E4E4E4" w:val="clear"/>
        </w:rPr>
      </w:pPr>
      <w:r>
        <w:rPr>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Title: Vice President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CERTAIN IDENTIFIED INFORMATION HAS BEEN EXCLUDED FROM THE EXHIBIT BECAUSE IT IS BOTH</w:t>
      </w:r>
    </w:p>
    <w:p>
      <w:pPr>
        <w:pStyle w:val="TextBody"/>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NOT MATERIAL AND IS THE TYPE THAT THE REGISTRANT TREATS AS PRIVATE OR CONFIDENTIAL.</w:t>
      </w:r>
    </w:p>
    <w:p>
      <w:pPr>
        <w:pStyle w:val="TextBody"/>
        <w:bidi w:val="0"/>
        <w:spacing w:lineRule="auto" w:line="319"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SECOND AMENDMENT TO CREDIT AGREEMENT</w:t>
      </w:r>
    </w:p>
    <w:p>
      <w:pPr>
        <w:pStyle w:val="TextBody"/>
        <w:bidi w:val="0"/>
        <w:spacing w:before="0" w:after="0"/>
        <w:jc w:val="both"/>
        <w:rPr/>
      </w:pPr>
      <w:r>
        <w:rPr/>
      </w:r>
    </w:p>
    <w:p>
      <w:pPr>
        <w:pStyle w:val="TextBody"/>
        <w:bidi w:val="0"/>
        <w:spacing w:lineRule="auto" w:line="319" w:before="0" w:after="0"/>
        <w:ind w:left="0" w:right="0" w:firstLine="640"/>
        <w:jc w:val="both"/>
        <w:rPr/>
      </w:pPr>
      <w:r>
        <w:rPr>
          <w:rFonts w:ascii="Times New Roman;serif" w:hAnsi="Times New Roman;serif"/>
          <w:b/>
          <w:color w:val="000000"/>
          <w:sz w:val="24"/>
        </w:rPr>
        <w:t xml:space="preserve">THIS SECOND AMENDMENT TO CREDIT AGREEMENT </w:t>
      </w:r>
      <w:r>
        <w:rPr>
          <w:rFonts w:ascii="Times New Roman;serif" w:hAnsi="Times New Roman;serif"/>
          <w:b w:val="false"/>
          <w:color w:val="000000"/>
          <w:sz w:val="24"/>
        </w:rPr>
        <w:t>(the “</w:t>
      </w:r>
      <w:r>
        <w:rPr>
          <w:rFonts w:ascii="Times New Roman;serif" w:hAnsi="Times New Roman;serif"/>
          <w:b/>
          <w:color w:val="000000"/>
          <w:sz w:val="24"/>
        </w:rPr>
        <w:t>Amendment</w:t>
      </w:r>
      <w:r>
        <w:rPr>
          <w:color w:val="000000"/>
        </w:rPr>
        <w:t>”</w:t>
      </w:r>
      <w:r>
        <w:rPr>
          <w:rFonts w:ascii="Times New Roman;serif" w:hAnsi="Times New Roman;serif"/>
          <w:b w:val="false"/>
          <w:color w:val="000000"/>
          <w:sz w:val="24"/>
        </w:rPr>
        <w:t>) is dated as of December 26, 2025 (“</w:t>
      </w:r>
      <w:r>
        <w:rPr>
          <w:rFonts w:ascii="Times New Roman;serif" w:hAnsi="Times New Roman;serif"/>
          <w:b/>
          <w:color w:val="000000"/>
          <w:sz w:val="24"/>
        </w:rPr>
        <w:t>Amendment Effective Date</w:t>
      </w:r>
      <w:r>
        <w:rPr>
          <w:color w:val="000000"/>
        </w:rPr>
        <w:t>”</w:t>
      </w:r>
      <w:r>
        <w:rPr>
          <w:rFonts w:ascii="Times New Roman;serif" w:hAnsi="Times New Roman;serif"/>
          <w:b w:val="false"/>
          <w:color w:val="000000"/>
          <w:sz w:val="24"/>
        </w:rPr>
        <w:t>) among Ripple Labs Inc. (“</w:t>
      </w:r>
      <w:r>
        <w:rPr>
          <w:rFonts w:ascii="Times New Roman;serif" w:hAnsi="Times New Roman;serif"/>
          <w:b/>
          <w:color w:val="000000"/>
          <w:sz w:val="24"/>
        </w:rPr>
        <w:t>Lender</w:t>
      </w:r>
      <w:r>
        <w:rPr>
          <w:color w:val="000000"/>
        </w:rPr>
        <w:t>”</w:t>
      </w:r>
      <w:r>
        <w:rPr>
          <w:rFonts w:ascii="Times New Roman;serif" w:hAnsi="Times New Roman;serif"/>
          <w:b w:val="false"/>
          <w:color w:val="000000"/>
          <w:sz w:val="24"/>
        </w:rPr>
        <w:t>), Gemini Capricorn One, LLC (the “</w:t>
      </w:r>
      <w:r>
        <w:rPr>
          <w:rFonts w:ascii="Times New Roman;serif" w:hAnsi="Times New Roman;serif"/>
          <w:b/>
          <w:color w:val="000000"/>
          <w:sz w:val="24"/>
        </w:rPr>
        <w:t>Borrower</w:t>
      </w:r>
      <w:r>
        <w:rPr>
          <w:color w:val="000000"/>
        </w:rPr>
        <w:t>”</w:t>
      </w:r>
      <w:r>
        <w:rPr>
          <w:rFonts w:ascii="Times New Roman;serif" w:hAnsi="Times New Roman;serif"/>
          <w:b w:val="false"/>
          <w:color w:val="000000"/>
          <w:sz w:val="24"/>
        </w:rPr>
        <w:t>) and Gemini Constellation, LLC (“</w:t>
      </w:r>
      <w:r>
        <w:rPr>
          <w:rFonts w:ascii="Times New Roman;serif" w:hAnsi="Times New Roman;serif"/>
          <w:b/>
          <w:color w:val="000000"/>
          <w:sz w:val="24"/>
        </w:rPr>
        <w:t>Servicer</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319" w:before="0" w:after="0"/>
        <w:jc w:val="both"/>
        <w:rPr/>
      </w:pPr>
      <w:r>
        <w:rPr>
          <w:rFonts w:ascii="Times New Roman;serif" w:hAnsi="Times New Roman;serif"/>
          <w:b/>
          <w:color w:val="000000"/>
          <w:sz w:val="24"/>
        </w:rPr>
        <w:t>WHEREAS</w:t>
      </w:r>
      <w:r>
        <w:rPr>
          <w:rFonts w:ascii="Times New Roman;serif" w:hAnsi="Times New Roman;serif"/>
          <w:b w:val="false"/>
          <w:color w:val="000000"/>
          <w:sz w:val="24"/>
        </w:rPr>
        <w:t>, Lender, Borrower and Servicer entered into that certain Credit Agreement dated as of July 11, 2025 as amended by that certain First Amendment to Credit Agreement dated as of August 13, 2025 (as so amended, the “</w:t>
      </w:r>
      <w:r>
        <w:rPr>
          <w:rFonts w:ascii="Times New Roman;serif" w:hAnsi="Times New Roman;serif"/>
          <w:b/>
          <w:color w:val="000000"/>
          <w:sz w:val="24"/>
        </w:rPr>
        <w:t>Credit</w:t>
      </w:r>
      <w:r>
        <w:rPr>
          <w:color w:val="000000"/>
        </w:rPr>
        <w:t xml:space="preserv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Any capitalized terms not otherwise defined herein shall have the meaning set forth in the Credit Agreement.</w:t>
      </w:r>
    </w:p>
    <w:p>
      <w:pPr>
        <w:pStyle w:val="TextBody"/>
        <w:bidi w:val="0"/>
        <w:spacing w:before="0" w:after="0"/>
        <w:jc w:val="both"/>
        <w:rPr/>
      </w:pPr>
      <w:r>
        <w:rPr/>
      </w:r>
    </w:p>
    <w:p>
      <w:pPr>
        <w:pStyle w:val="TextBody"/>
        <w:bidi w:val="0"/>
        <w:spacing w:lineRule="auto" w:line="319" w:before="0" w:after="0"/>
        <w:jc w:val="both"/>
        <w:rPr/>
      </w:pPr>
      <w:r>
        <w:rPr>
          <w:rFonts w:ascii="Times New Roman;serif" w:hAnsi="Times New Roman;serif"/>
          <w:b/>
          <w:color w:val="000000"/>
          <w:sz w:val="24"/>
        </w:rPr>
        <w:t>WHEREAS</w:t>
      </w:r>
      <w:r>
        <w:rPr>
          <w:rFonts w:ascii="Times New Roman;serif" w:hAnsi="Times New Roman;serif"/>
          <w:b w:val="false"/>
          <w:color w:val="000000"/>
          <w:sz w:val="24"/>
        </w:rPr>
        <w:t>, the parties wish to amend the Credit Agreement to temporarily increase the Commitment subject to the terms and conditions herein.</w:t>
      </w:r>
    </w:p>
    <w:p>
      <w:pPr>
        <w:pStyle w:val="TextBody"/>
        <w:bidi w:val="0"/>
        <w:spacing w:before="0" w:after="0"/>
        <w:jc w:val="both"/>
        <w:rPr/>
      </w:pPr>
      <w:r>
        <w:rPr/>
      </w:r>
    </w:p>
    <w:p>
      <w:pPr>
        <w:pStyle w:val="TextBody"/>
        <w:bidi w:val="0"/>
        <w:spacing w:lineRule="auto" w:line="319" w:before="0" w:after="0"/>
        <w:jc w:val="both"/>
        <w:rPr/>
      </w:pPr>
      <w:r>
        <w:rPr>
          <w:rFonts w:ascii="Times New Roman;serif" w:hAnsi="Times New Roman;serif"/>
          <w:b/>
          <w:color w:val="000000"/>
          <w:sz w:val="24"/>
        </w:rPr>
        <w:t>NOW, THEREFORE,</w:t>
      </w:r>
      <w:r>
        <w:rPr>
          <w:color w:val="000000"/>
        </w:rPr>
        <w:t xml:space="preserve"> </w:t>
      </w:r>
      <w:r>
        <w:rPr>
          <w:rFonts w:ascii="Times New Roman;serif" w:hAnsi="Times New Roman;serif"/>
          <w:b w:val="false"/>
          <w:color w:val="000000"/>
          <w:sz w:val="24"/>
        </w:rPr>
        <w:t>in consideration of the mutual covenants contained herein, and for other good and valuable consideration, the receipt and sufficiency of which is hereby acknowledged, the parties hereto, intending to be legally bound, agree as follows:</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4"/>
        </w:rPr>
        <w:t>1.Notwithstanding anything to the contrary in Section 1.05(a) of the Credit Agreement but subject to the other terms and conditions of the Credit Agreement, the Commitment is hereby increased to $250,000,000 until July 1, 2026 (the “</w:t>
      </w:r>
      <w:r>
        <w:rPr>
          <w:rFonts w:ascii="Times New Roman;serif" w:hAnsi="Times New Roman;serif"/>
          <w:b w:val="false"/>
          <w:color w:val="000000"/>
          <w:sz w:val="24"/>
          <w:u w:val="single"/>
        </w:rPr>
        <w:t>Temporary Increase in Commitment</w:t>
      </w:r>
      <w:r>
        <w:rPr>
          <w:color w:val="000000"/>
        </w:rPr>
        <w:t>”</w:t>
      </w:r>
      <w:r>
        <w:rPr>
          <w:rFonts w:ascii="Times New Roman;serif" w:hAnsi="Times New Roman;serif"/>
          <w:b w:val="false"/>
          <w:color w:val="000000"/>
          <w:sz w:val="24"/>
        </w:rPr>
        <w:t>) subject to the following terms and conditions (the “</w:t>
      </w:r>
      <w:r>
        <w:rPr>
          <w:rFonts w:ascii="Times New Roman;serif" w:hAnsi="Times New Roman;serif"/>
          <w:b w:val="false"/>
          <w:color w:val="000000"/>
          <w:sz w:val="24"/>
          <w:u w:val="single"/>
        </w:rPr>
        <w:t>Temporary Increase in Commitment Conditions</w:t>
      </w:r>
      <w:r>
        <w:rPr>
          <w:color w:val="000000"/>
        </w:rPr>
        <w:t>”</w:t>
      </w:r>
      <w:r>
        <w:rPr>
          <w:rFonts w:ascii="Times New Roman;serif" w:hAnsi="Times New Roman;serif"/>
          <w:b w:val="false"/>
          <w:color w:val="000000"/>
          <w:sz w:val="24"/>
        </w:rPr>
        <w:t>):</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a.Clause (i) of the definition of Advance Rate is amended by replacing the reference to “[***]” with “[***]”. </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b.Clause (i) of the definition of Interest Rate is amended by replacing the reference to “6.50%” with “7.00%”.</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c.By no later than January 31, 2026, Borrower shall cause the following to occur:</w:t>
      </w:r>
    </w:p>
    <w:p>
      <w:pPr>
        <w:pStyle w:val="TextBody"/>
        <w:bidi w:val="0"/>
        <w:spacing w:lineRule="auto" w:line="319" w:before="0" w:after="0"/>
        <w:ind w:left="0" w:right="0" w:hanging="360"/>
        <w:jc w:val="both"/>
        <w:rPr/>
      </w:pPr>
      <w:r>
        <w:rPr>
          <w:rFonts w:ascii="Times New Roman;serif" w:hAnsi="Times New Roman;serif"/>
          <w:b w:val="false"/>
          <w:color w:val="000000"/>
          <w:sz w:val="24"/>
        </w:rPr>
        <w:t>i.Borrower shall, or shall cause its Affiliates to, grant a security interest in RLUSD that it owns and is unencumbered (the “</w:t>
      </w:r>
      <w:r>
        <w:rPr>
          <w:rFonts w:ascii="Times New Roman;serif" w:hAnsi="Times New Roman;serif"/>
          <w:b w:val="false"/>
          <w:color w:val="000000"/>
          <w:sz w:val="24"/>
          <w:u w:val="single"/>
        </w:rPr>
        <w:t>Pledged RLUSD</w:t>
      </w:r>
      <w:r>
        <w:rPr>
          <w:color w:val="000000"/>
        </w:rPr>
        <w:t>”</w:t>
      </w:r>
      <w:r>
        <w:rPr>
          <w:rFonts w:ascii="Times New Roman;serif" w:hAnsi="Times New Roman;serif"/>
          <w:b w:val="false"/>
          <w:color w:val="000000"/>
          <w:sz w:val="24"/>
        </w:rPr>
        <w:t>) (and not RLUSD belonging to its customers or in which its customers have a beneficial interest) pursuant to a security agreement reasonably satisfactory to Lender in an amount no less than [***] of the Loan Amount. If Borrower’s Affiliates will be granting a security interest, then Lender may require such Affiliates to sign a non-recourse guaranty reasonably satisfactory to the parties.</w:t>
      </w:r>
    </w:p>
    <w:p>
      <w:pPr>
        <w:pStyle w:val="TextBody"/>
        <w:bidi w:val="0"/>
        <w:spacing w:lineRule="auto" w:line="319"/>
        <w:ind w:left="0" w:right="0" w:hanging="360"/>
        <w:jc w:val="both"/>
        <w:rPr/>
      </w:pPr>
      <w:r>
        <w:rPr>
          <w:rFonts w:ascii="Times New Roman;serif" w:hAnsi="Times New Roman;serif"/>
          <w:b w:val="false"/>
          <w:color w:val="000000"/>
          <w:sz w:val="24"/>
        </w:rPr>
        <w:t>ii.The Pledged RLUSD shall be held by a qualified custodian (“</w:t>
      </w:r>
      <w:r>
        <w:rPr>
          <w:rFonts w:ascii="Times New Roman;serif" w:hAnsi="Times New Roman;serif"/>
          <w:b w:val="false"/>
          <w:color w:val="000000"/>
          <w:sz w:val="24"/>
          <w:u w:val="single"/>
        </w:rPr>
        <w:t>QC</w:t>
      </w:r>
      <w:r>
        <w:rPr>
          <w:color w:val="000000"/>
        </w:rPr>
        <w:t>”</w:t>
      </w:r>
      <w:r>
        <w:rPr>
          <w:rFonts w:ascii="Times New Roman;serif" w:hAnsi="Times New Roman;serif"/>
          <w:b w:val="false"/>
          <w:color w:val="000000"/>
          <w:sz w:val="24"/>
        </w:rPr>
        <w:t>) regulated by the New York Department of Financial Services (“</w:t>
      </w:r>
      <w:r>
        <w:rPr>
          <w:rFonts w:ascii="Times New Roman;serif" w:hAnsi="Times New Roman;serif"/>
          <w:b w:val="false"/>
          <w:color w:val="000000"/>
          <w:sz w:val="24"/>
          <w:u w:val="single"/>
        </w:rPr>
        <w:t>NYDFS</w:t>
      </w:r>
      <w:r>
        <w:rPr>
          <w:color w:val="000000"/>
        </w:rPr>
        <w:t>”</w:t>
      </w:r>
      <w:r>
        <w:rPr>
          <w:rFonts w:ascii="Times New Roman;serif" w:hAnsi="Times New Roman;serif"/>
          <w:b w:val="false"/>
          <w:color w:val="000000"/>
          <w:sz w:val="24"/>
        </w:rPr>
        <w:t xml:space="preserve">) and otherwise reasonably satisfactory to Lender. The QC, Borrower and </w:t>
      </w:r>
    </w:p>
    <w:p>
      <w:pPr>
        <w:pStyle w:val="TextBody"/>
        <w:bidi w:val="0"/>
        <w:spacing w:before="0" w:after="0"/>
        <w:jc w:val="center"/>
        <w:rPr/>
      </w:pPr>
      <w:r>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116840"/>
                <wp:effectExtent l="0" t="0" r="0" b="0"/>
                <wp:wrapNone/>
                <wp:docPr id="417" name="Frame4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Second Amendment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Second Amendment to Credit Agreement</w:t>
                      </w:r>
                    </w:p>
                  </w:txbxContent>
                </v:textbox>
                <w10:wrap type="none"/>
              </v:rect>
            </w:pict>
          </mc:Fallback>
        </mc:AlternateContent>
      </w:r>
    </w:p>
    <w:p>
      <w:pPr>
        <w:pStyle w:val="TextBody"/>
        <w:bidi w:val="0"/>
        <w:spacing w:lineRule="auto" w:line="319" w:before="0" w:after="0"/>
        <w:jc w:val="both"/>
        <w:rPr/>
      </w:pPr>
      <w:r>
        <w:rPr>
          <w:rFonts w:ascii="Times New Roman;serif" w:hAnsi="Times New Roman;serif"/>
          <w:b w:val="false"/>
          <w:color w:val="000000"/>
          <w:sz w:val="24"/>
        </w:rPr>
        <w:t>Lender shall enter into a control agreement reasonably satisfactory to Lender (the “</w:t>
      </w:r>
      <w:r>
        <w:rPr>
          <w:rFonts w:ascii="Times New Roman;serif" w:hAnsi="Times New Roman;serif"/>
          <w:b w:val="false"/>
          <w:color w:val="000000"/>
          <w:sz w:val="24"/>
          <w:u w:val="single"/>
        </w:rPr>
        <w:t>Control Agreement</w:t>
      </w:r>
      <w:r>
        <w:rPr>
          <w:color w:val="000000"/>
        </w:rPr>
        <w:t>”</w:t>
      </w:r>
      <w:r>
        <w:rPr>
          <w:rFonts w:ascii="Times New Roman;serif" w:hAnsi="Times New Roman;serif"/>
          <w:b w:val="false"/>
          <w:color w:val="000000"/>
          <w:sz w:val="24"/>
        </w:rPr>
        <w:t xml:space="preserve">) pursuant [***]. Any fees charged by the QC shall be borne by Borrower and not Lender. For the avoidance of doubt, the Parties agree that Gemini Trust Company, LLC is a QC so long as it remains in good standing with NYDFS. </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iii.Failure of the foregoing to occur by January 31, 2026 shall constitute an immediate Event of Default. </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d.On and after January 31, 2026, Lender may reject a Borrowing Request if it does not receive reasonably satisfactory evidence that the amount of Pledged RLUSD in an amount no less than [***] of the Loan Amount including the requested Advance has been deposited into the account subject to the Control Agreement. The Borrower will submit a calculation of the Pledged RLUSD based on the Loan Amount resulting from any Borrowing Request as a schedule to the Borrowing Base Certificate. The Borrower will be responsible for rebalancing the Pledged RLUSD by 8:00pm EST on the business day prior to the Lender funding any Advances, and Borrower shall provide Lender with evidence of same (access by Lender to a Gemini Designated Wallet address will be sufficient) by such time. </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e.Subject to Section 1(d) of this Amendment, Borrower shall not be required to comply with clauses (i) and (ii) of Section 1(c) of this Amendment from March 30, 2026 through April 2, 2026.</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f.The Temporary Increase in Commitment Conditions pursuant to this Section 1 shall terminate on July 1, 2026. </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4"/>
        </w:rPr>
        <w:t>2.</w:t>
      </w:r>
      <w:r>
        <w:rPr>
          <w:color w:val="000000"/>
        </w:rPr>
        <w:t xml:space="preserve"> </w:t>
      </w:r>
      <w:r>
        <w:rPr>
          <w:rFonts w:ascii="Times New Roman;serif" w:hAnsi="Times New Roman;serif"/>
          <w:b w:val="false"/>
          <w:color w:val="000000"/>
          <w:sz w:val="24"/>
        </w:rPr>
        <w:t>If on July 2, 2026, Borrower fails to repay the Advances in an amount necessary for the Loan Amount to be less than or equal to $150,000,000, then the following terms and conditions shall apply until the Loan Amount is less than or equal to $150,000,000 pursuant to clause (a) below:</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a.The Commitment will be the lesser of (i) $250,000,000 and (ii) $250,000,000 minus any repayments and prepayments of the Loan Amount after July 1, 2026 until the Loan Amount is equal to or less than $150,000,000. </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b.The Temporary Increase in Commitment Conditions shall continue to apply except that clause (i) of the definition of Interest Rate shall be increased to 10.00%. </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c.For the avoidance of doubt, this Section 2 is not intended to relieve the Borrower from complying with any other terms and conditions of the Credit Agreement including, without limitation, its requirement to prepay the Loan Amount when a Borrowing Base Deficiency exists.</w:t>
      </w:r>
    </w:p>
    <w:p>
      <w:pPr>
        <w:pStyle w:val="TextBody"/>
        <w:bidi w:val="0"/>
        <w:spacing w:before="0" w:after="0"/>
        <w:jc w:val="both"/>
        <w:rPr/>
      </w:pPr>
      <w:r>
        <w:rPr/>
      </w:r>
    </w:p>
    <w:p>
      <w:pPr>
        <w:pStyle w:val="TextBody"/>
        <w:bidi w:val="0"/>
        <w:spacing w:lineRule="auto" w:line="319"/>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3.By no later than April 1, 2026 and all times thereafter until the Final Maturity Date, Borrower shall, or shall cause its Affiliates to, maintain an average AUC of RLUSD </w:t>
      </w:r>
    </w:p>
    <w:p>
      <w:pPr>
        <w:pStyle w:val="TextBody"/>
        <w:bidi w:val="0"/>
        <w:spacing w:before="0" w:after="0"/>
        <w:jc w:val="center"/>
        <w:rPr/>
      </w:pPr>
      <w:r>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116840"/>
                <wp:effectExtent l="0" t="0" r="0" b="0"/>
                <wp:wrapNone/>
                <wp:docPr id="418" name="Frame4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Second Amendment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Second Amendment to Credit Agreement</w:t>
                      </w:r>
                    </w:p>
                  </w:txbxContent>
                </v:textbox>
                <w10:wrap type="none"/>
              </v:rect>
            </w:pict>
          </mc:Fallback>
        </mc:AlternateContent>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issued on the XRP ledger of no less than [***] in any calendar month (excluding the three (3) highest Daily AUCs and the three (3) lowest Daily AUCs in such month); provided that if Borrower fails to comply with this covenant, then Borrower shall pay to Lender on each Settlement Date and the Final Maturity Date an amount equal to 2% per annum times the difference between [***] and the AUC balance of RLUSD issued on the XRP ledger at such time. Failure to so timely pay shall constitute an Event of Default under Section 8.02(b)(i) of the Credit Agreement.</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6"/>
        </w:rPr>
        <w:t>4.</w:t>
      </w:r>
      <w:r>
        <w:rPr>
          <w:rFonts w:ascii="Times New Roman;serif" w:hAnsi="Times New Roman;serif"/>
          <w:b w:val="false"/>
          <w:color w:val="000000"/>
          <w:sz w:val="24"/>
          <w:shd w:fill="FFFFFF" w:val="clear"/>
        </w:rPr>
        <w:t>Concurrently with the Monthly Report, Borrower shall furnish to the Lender a report (the “</w:t>
      </w:r>
      <w:r>
        <w:rPr>
          <w:rFonts w:ascii="Times New Roman;serif" w:hAnsi="Times New Roman;serif"/>
          <w:b w:val="false"/>
          <w:color w:val="000000"/>
          <w:sz w:val="24"/>
          <w:u w:val="single"/>
          <w:shd w:fill="FFFFFF" w:val="clear"/>
        </w:rPr>
        <w:t>Portfolio Report</w:t>
      </w:r>
      <w:r>
        <w:rPr>
          <w:color w:val="000000"/>
          <w:shd w:fill="FFFFFF" w:val="clear"/>
        </w:rPr>
        <w:t>”</w:t>
      </w:r>
      <w:r>
        <w:rPr>
          <w:rFonts w:ascii="Times New Roman;serif" w:hAnsi="Times New Roman;serif"/>
          <w:b w:val="false"/>
          <w:color w:val="000000"/>
          <w:sz w:val="24"/>
          <w:shd w:fill="FFFFFF" w:val="clear"/>
        </w:rPr>
        <w:t xml:space="preserve">), in substantially the form attached as </w:t>
      </w:r>
      <w:r>
        <w:rPr>
          <w:rFonts w:ascii="Times New Roman;serif" w:hAnsi="Times New Roman;serif"/>
          <w:b w:val="false"/>
          <w:color w:val="000000"/>
          <w:sz w:val="24"/>
          <w:u w:val="single"/>
          <w:shd w:fill="FFFFFF" w:val="clear"/>
        </w:rPr>
        <w:t>Exhibit A</w:t>
      </w:r>
      <w:r>
        <w:rPr>
          <w:color w:val="000000"/>
          <w:shd w:fill="FFFFFF" w:val="clear"/>
        </w:rPr>
        <w:t xml:space="preserve"> </w:t>
      </w:r>
      <w:r>
        <w:rPr>
          <w:rFonts w:ascii="Times New Roman;serif" w:hAnsi="Times New Roman;serif"/>
          <w:b w:val="false"/>
          <w:color w:val="000000"/>
          <w:sz w:val="24"/>
          <w:shd w:fill="FFFFFF" w:val="clear"/>
        </w:rPr>
        <w:t xml:space="preserve">hereto. </w:t>
      </w:r>
    </w:p>
    <w:p>
      <w:pPr>
        <w:pStyle w:val="TextBody"/>
        <w:bidi w:val="0"/>
        <w:spacing w:before="0" w:after="0"/>
        <w:jc w:val="both"/>
        <w:rPr/>
      </w:pPr>
      <w:r>
        <w:rPr/>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5.Effect of Amendment. This Amendment is a Transaction Document. Except as expressly amended and/or superseded by this Amendment, the Credit Agreement shall remain in full force and effect. This Amendment shall not constitute an amendment or waiver of any provision of the Credit Agreement, except as expressly set forth herein. Upon the Amendment Effective Date, or as otherwise set forth herein, the Credit Agreement shall thereupon be deemed to be amended and supplemented as hereinabove set forth, and this Amendment shall henceforth be read, taken, and construed as an integral part of the Credit Agreement; however, such amendments and supplements shall not operate so as to render invalid or improper any action heretofore taken under the Credit Agreement. This Amendment shall not operate to eliminate or discharge a party’s obligation to pay amounts accrued and owing prior to the Amendment Effective Date, which amounts shall be payable in accordance with the terms of the Credit Agreement without giving effect to this Amendment. In the event of any inconsistency between this Amendment and the Credit Agreement with respect to the matters set forth herein, this Amendment shall take precedence. References in any of the Transaction Documents or amendments thereto to the Credit Agreement shall be deemed to mean the Credit Agreement, as applicable, as amended by this Amendment. </w:t>
      </w:r>
    </w:p>
    <w:p>
      <w:pPr>
        <w:pStyle w:val="TextBody"/>
        <w:bidi w:val="0"/>
        <w:spacing w:before="0" w:after="0"/>
        <w:jc w:val="both"/>
        <w:rPr/>
      </w:pPr>
      <w:r>
        <w:rPr/>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6.Governing Law. This Amendment shall be interpreted and construed in accordance with the laws of the State of New York, without giving effect to the rules, policies, or principles thereof with respect to conflicts of laws. </w:t>
      </w:r>
    </w:p>
    <w:p>
      <w:pPr>
        <w:pStyle w:val="TextBody"/>
        <w:bidi w:val="0"/>
        <w:spacing w:before="0" w:after="0"/>
        <w:jc w:val="both"/>
        <w:rPr/>
      </w:pPr>
      <w:r>
        <w:rPr/>
      </w:r>
    </w:p>
    <w:p>
      <w:pPr>
        <w:pStyle w:val="TextBody"/>
        <w:bidi w:val="0"/>
        <w:spacing w:lineRule="auto" w:line="319" w:before="0" w:after="0"/>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pStyle w:val="TextBody"/>
        <w:bidi w:val="0"/>
        <w:spacing w:before="0" w:after="0"/>
        <w:jc w:val="both"/>
        <w:rPr/>
      </w:pPr>
      <w:r>
        <w:rPr/>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116840"/>
                <wp:effectExtent l="0" t="0" r="0" b="0"/>
                <wp:wrapNone/>
                <wp:docPr id="419" name="Frame4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Second Amendment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Second Amendment to Credit Agreement</w:t>
                      </w:r>
                    </w:p>
                  </w:txbxContent>
                </v:textbox>
                <w10:wrap type="none"/>
              </v:rect>
            </w:pict>
          </mc:Fallback>
        </mc:AlternateContent>
      </w:r>
    </w:p>
    <w:p>
      <w:pPr>
        <w:pStyle w:val="TextBody"/>
        <w:bidi w:val="0"/>
        <w:spacing w:before="0" w:after="0"/>
        <w:jc w:val="both"/>
        <w:rPr/>
      </w:pPr>
      <w:r>
        <w:rPr/>
      </w:r>
    </w:p>
    <w:tbl>
      <w:tblPr>
        <w:tblW w:w="6283" w:type="dxa"/>
        <w:jc w:val="left"/>
        <w:tblInd w:w="0" w:type="dxa"/>
        <w:tblLayout w:type="fixed"/>
        <w:tblCellMar>
          <w:top w:w="28" w:type="dxa"/>
          <w:left w:w="28" w:type="dxa"/>
          <w:bottom w:w="28" w:type="dxa"/>
          <w:right w:w="28" w:type="dxa"/>
        </w:tblCellMar>
      </w:tblPr>
      <w:tblGrid>
        <w:gridCol w:w="1385"/>
        <w:gridCol w:w="1217"/>
        <w:gridCol w:w="1222"/>
        <w:gridCol w:w="718"/>
        <w:gridCol w:w="718"/>
        <w:gridCol w:w="1023"/>
      </w:tblGrid>
      <w:tr>
        <w:trPr/>
        <w:tc>
          <w:tcPr>
            <w:tcW w:w="138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4"/>
              </w:rPr>
            </w:pPr>
            <w:r>
              <w:rPr>
                <w:rFonts w:ascii="Times New Roman;serif" w:hAnsi="Times New Roman;serif"/>
                <w:b/>
                <w:color w:val="000000"/>
                <w:sz w:val="24"/>
              </w:rPr>
              <w:t>GEMINI CAPRICORN ONE, LLC</w:t>
            </w:r>
          </w:p>
        </w:tc>
        <w:tc>
          <w:tcPr>
            <w:tcW w:w="2459"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erif" w:hAnsi="Times New Roman;serif"/>
                <w:b/>
                <w:color w:val="000000"/>
                <w:sz w:val="24"/>
              </w:rPr>
            </w:pPr>
            <w:r>
              <w:rPr>
                <w:rFonts w:ascii="Times New Roman;serif" w:hAnsi="Times New Roman;serif"/>
                <w:b/>
                <w:color w:val="000000"/>
                <w:sz w:val="24"/>
              </w:rPr>
              <w:t>RIPPLE LABS INC.</w:t>
            </w:r>
          </w:p>
        </w:tc>
      </w:tr>
      <w:tr>
        <w:trPr/>
        <w:tc>
          <w:tcPr>
            <w:tcW w:w="3824" w:type="dxa"/>
            <w:gridSpan w:val="3"/>
            <w:tcBorders/>
            <w:tcMar>
              <w:top w:w="0" w:type="dxa"/>
              <w:left w:w="0" w:type="dxa"/>
              <w:bottom w:w="0" w:type="dxa"/>
              <w:right w:w="0" w:type="dxa"/>
            </w:tcMar>
            <w:vAlign w:val="center"/>
          </w:tcPr>
          <w:p>
            <w:pPr>
              <w:pStyle w:val="TableContents"/>
              <w:bidi w:val="0"/>
              <w:spacing w:lineRule="auto" w:line="319" w:before="0" w:after="0"/>
              <w:jc w:val="both"/>
              <w:rPr/>
            </w:pPr>
            <w:r>
              <w:rPr>
                <w:rFonts w:ascii="Times New Roman;serif" w:hAnsi="Times New Roman;serif"/>
                <w:b w:val="false"/>
                <w:color w:val="000000"/>
                <w:sz w:val="24"/>
              </w:rPr>
              <w:br/>
              <w:t>By:</w:t>
            </w:r>
            <w:r>
              <w:rPr>
                <w:color w:val="000000"/>
                <w:u w:val="single"/>
              </w:rPr>
              <w:t xml:space="preserve"> </w:t>
            </w:r>
            <w:r>
              <w:rPr>
                <w:rFonts w:ascii="Times New Roman;serif" w:hAnsi="Times New Roman;serif"/>
                <w:b w:val="false"/>
                <w:color w:val="000000"/>
                <w:sz w:val="24"/>
                <w:u w:val="single"/>
              </w:rPr>
              <w:t xml:space="preserve">/s/ Marshall Beard </w:t>
            </w:r>
          </w:p>
        </w:tc>
        <w:tc>
          <w:tcPr>
            <w:tcW w:w="2459" w:type="dxa"/>
            <w:gridSpan w:val="3"/>
            <w:tcBorders/>
            <w:tcMar>
              <w:top w:w="0" w:type="dxa"/>
              <w:left w:w="0" w:type="dxa"/>
              <w:bottom w:w="0" w:type="dxa"/>
              <w:right w:w="0" w:type="dxa"/>
            </w:tcMar>
            <w:vAlign w:val="center"/>
          </w:tcPr>
          <w:p>
            <w:pPr>
              <w:pStyle w:val="TableContents"/>
              <w:bidi w:val="0"/>
              <w:spacing w:lineRule="auto" w:line="319" w:before="0" w:after="0"/>
              <w:jc w:val="both"/>
              <w:rPr/>
            </w:pPr>
            <w:r>
              <w:rPr>
                <w:rFonts w:ascii="Times New Roman;serif" w:hAnsi="Times New Roman;serif"/>
                <w:b w:val="false"/>
                <w:color w:val="000000"/>
                <w:sz w:val="24"/>
              </w:rPr>
              <w:br/>
              <w:t>By:</w:t>
            </w:r>
            <w:r>
              <w:rPr>
                <w:color w:val="000000"/>
                <w:u w:val="single"/>
              </w:rPr>
              <w:t xml:space="preserve"> </w:t>
            </w:r>
            <w:r>
              <w:rPr>
                <w:rFonts w:ascii="Times New Roman;serif" w:hAnsi="Times New Roman;serif"/>
                <w:b w:val="false"/>
                <w:color w:val="000000"/>
                <w:sz w:val="24"/>
                <w:u w:val="single"/>
              </w:rPr>
              <w:t xml:space="preserve">/s/ Sean Belmont </w:t>
            </w:r>
          </w:p>
        </w:tc>
      </w:tr>
      <w:tr>
        <w:trPr/>
        <w:tc>
          <w:tcPr>
            <w:tcW w:w="3824"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4"/>
              </w:rPr>
            </w:pPr>
            <w:r>
              <w:rPr>
                <w:rFonts w:ascii="Times New Roman;serif" w:hAnsi="Times New Roman;serif"/>
                <w:b w:val="false"/>
                <w:color w:val="000000"/>
                <w:sz w:val="24"/>
              </w:rPr>
              <w:t>Name: Marshall Beard</w:t>
            </w:r>
          </w:p>
        </w:tc>
        <w:tc>
          <w:tcPr>
            <w:tcW w:w="2459"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4"/>
              </w:rPr>
            </w:pPr>
            <w:r>
              <w:rPr>
                <w:rFonts w:ascii="Times New Roman;serif" w:hAnsi="Times New Roman;serif"/>
                <w:b w:val="false"/>
                <w:color w:val="000000"/>
                <w:sz w:val="24"/>
              </w:rPr>
              <w:t>Name: Sean Belmont</w:t>
            </w:r>
          </w:p>
        </w:tc>
      </w:tr>
      <w:tr>
        <w:trPr/>
        <w:tc>
          <w:tcPr>
            <w:tcW w:w="3824"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4"/>
              </w:rPr>
            </w:pPr>
            <w:r>
              <w:rPr>
                <w:rFonts w:ascii="Times New Roman;serif" w:hAnsi="Times New Roman;serif"/>
                <w:b w:val="false"/>
                <w:color w:val="000000"/>
                <w:sz w:val="24"/>
              </w:rPr>
              <w:t>Title: Manager</w:t>
            </w:r>
          </w:p>
        </w:tc>
        <w:tc>
          <w:tcPr>
            <w:tcW w:w="2459"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4"/>
              </w:rPr>
            </w:pPr>
            <w:r>
              <w:rPr>
                <w:rFonts w:ascii="Times New Roman;serif" w:hAnsi="Times New Roman;serif"/>
                <w:b w:val="false"/>
                <w:color w:val="000000"/>
                <w:sz w:val="24"/>
              </w:rPr>
              <w:t>Title: Chief Risk Officer</w:t>
            </w:r>
          </w:p>
        </w:tc>
      </w:tr>
    </w:tbl>
    <w:p>
      <w:pPr>
        <w:pStyle w:val="TextBody"/>
        <w:bidi w:val="0"/>
        <w:spacing w:before="0" w:after="0"/>
        <w:jc w:val="both"/>
        <w:rPr/>
      </w:pPr>
      <w:r>
        <w:rPr/>
      </w:r>
    </w:p>
    <w:tbl>
      <w:tblPr>
        <w:tblW w:w="3914" w:type="dxa"/>
        <w:jc w:val="left"/>
        <w:tblInd w:w="0" w:type="dxa"/>
        <w:tblLayout w:type="fixed"/>
        <w:tblCellMar>
          <w:top w:w="28" w:type="dxa"/>
          <w:left w:w="28" w:type="dxa"/>
          <w:bottom w:w="28" w:type="dxa"/>
          <w:right w:w="28" w:type="dxa"/>
        </w:tblCellMar>
      </w:tblPr>
      <w:tblGrid>
        <w:gridCol w:w="1253"/>
        <w:gridCol w:w="1101"/>
        <w:gridCol w:w="1560"/>
      </w:tblGrid>
      <w:tr>
        <w:trPr/>
        <w:tc>
          <w:tcPr>
            <w:tcW w:w="125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4"/>
              </w:rPr>
            </w:pPr>
            <w:r>
              <w:rPr>
                <w:rFonts w:ascii="Times New Roman;serif" w:hAnsi="Times New Roman;serif"/>
                <w:b/>
                <w:color w:val="000000"/>
                <w:sz w:val="24"/>
              </w:rPr>
              <w:t>GEMINI CONSTELLATION, LLC</w:t>
            </w:r>
          </w:p>
        </w:tc>
      </w:tr>
      <w:tr>
        <w:trPr/>
        <w:tc>
          <w:tcPr>
            <w:tcW w:w="3914" w:type="dxa"/>
            <w:gridSpan w:val="3"/>
            <w:tcBorders/>
            <w:tcMar>
              <w:top w:w="0" w:type="dxa"/>
              <w:left w:w="0" w:type="dxa"/>
              <w:bottom w:w="0" w:type="dxa"/>
              <w:right w:w="0" w:type="dxa"/>
            </w:tcMar>
            <w:vAlign w:val="center"/>
          </w:tcPr>
          <w:p>
            <w:pPr>
              <w:pStyle w:val="TableContents"/>
              <w:bidi w:val="0"/>
              <w:spacing w:lineRule="auto" w:line="319" w:before="0" w:after="0"/>
              <w:jc w:val="both"/>
              <w:rPr/>
            </w:pPr>
            <w:r>
              <w:rPr>
                <w:rFonts w:ascii="Times New Roman;serif" w:hAnsi="Times New Roman;serif"/>
                <w:b w:val="false"/>
                <w:color w:val="000000"/>
                <w:sz w:val="24"/>
              </w:rPr>
              <w:br/>
              <w:t>By:</w:t>
            </w:r>
            <w:r>
              <w:rPr>
                <w:color w:val="000000"/>
                <w:u w:val="single"/>
              </w:rPr>
              <w:t xml:space="preserve"> </w:t>
            </w:r>
            <w:r>
              <w:rPr>
                <w:rFonts w:ascii="Times New Roman;serif" w:hAnsi="Times New Roman;serif"/>
                <w:b w:val="false"/>
                <w:color w:val="000000"/>
                <w:sz w:val="24"/>
                <w:u w:val="single"/>
              </w:rPr>
              <w:t xml:space="preserve">/s/ Dan Chen </w:t>
            </w:r>
          </w:p>
        </w:tc>
      </w:tr>
      <w:tr>
        <w:trPr/>
        <w:tc>
          <w:tcPr>
            <w:tcW w:w="3914"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4"/>
              </w:rPr>
            </w:pPr>
            <w:r>
              <w:rPr>
                <w:rFonts w:ascii="Times New Roman;serif" w:hAnsi="Times New Roman;serif"/>
                <w:b w:val="false"/>
                <w:color w:val="000000"/>
                <w:sz w:val="24"/>
              </w:rPr>
              <w:t>Name: Dan Chen</w:t>
            </w:r>
          </w:p>
        </w:tc>
      </w:tr>
      <w:tr>
        <w:trPr/>
        <w:tc>
          <w:tcPr>
            <w:tcW w:w="3914"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4"/>
              </w:rPr>
            </w:pPr>
            <w:r>
              <w:rPr>
                <w:rFonts w:ascii="Times New Roman;serif" w:hAnsi="Times New Roman;serif"/>
                <w:b w:val="false"/>
                <w:color w:val="000000"/>
                <w:sz w:val="24"/>
              </w:rPr>
              <w:t>Title: Manager</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116840"/>
                <wp:effectExtent l="0" t="0" r="0" b="0"/>
                <wp:wrapNone/>
                <wp:docPr id="420" name="Frame4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Second Amendment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Second Amendment to Credit Agreement</w:t>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116840"/>
                <wp:effectExtent l="0" t="0" r="0" b="0"/>
                <wp:wrapNone/>
                <wp:docPr id="421" name="Frame4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Second Amendment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Second Amendment to Credit Agreement</w:t>
                      </w:r>
                    </w:p>
                  </w:txbxContent>
                </v:textbox>
                <w10:wrap type="none"/>
              </v:rect>
            </w:pict>
          </mc:Fallback>
        </mc:AlternateContent>
      </w:r>
    </w:p>
    <w:p>
      <w:pPr>
        <w:pStyle w:val="TextBody"/>
        <w:bidi w:val="0"/>
        <w:spacing w:lineRule="auto" w:line="319" w:before="0" w:after="200"/>
        <w:jc w:val="center"/>
        <w:rPr>
          <w:rFonts w:ascii="Times New Roman;serif" w:hAnsi="Times New Roman;serif"/>
          <w:b/>
          <w:color w:val="000000"/>
          <w:sz w:val="22"/>
        </w:rPr>
      </w:pPr>
      <w:r>
        <w:rPr>
          <w:rFonts w:ascii="Times New Roman;serif" w:hAnsi="Times New Roman;serif"/>
          <w:b/>
          <w:color w:val="000000"/>
          <w:sz w:val="22"/>
        </w:rPr>
        <w:t>RELEASE AND SEPARATION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2"/>
        </w:rPr>
        <w:t>I, Daniel Chen (the “</w:t>
      </w:r>
      <w:r>
        <w:rPr>
          <w:rFonts w:ascii="Times New Roman;serif" w:hAnsi="Times New Roman;serif"/>
          <w:b w:val="false"/>
          <w:color w:val="000000"/>
          <w:sz w:val="22"/>
          <w:u w:val="single"/>
        </w:rPr>
        <w:t>Employee</w:t>
      </w:r>
      <w:r>
        <w:rPr>
          <w:color w:val="000000"/>
        </w:rPr>
        <w:t>”</w:t>
      </w:r>
      <w:r>
        <w:rPr>
          <w:rFonts w:ascii="Times New Roman;serif" w:hAnsi="Times New Roman;serif"/>
          <w:b w:val="false"/>
          <w:color w:val="000000"/>
          <w:sz w:val="22"/>
        </w:rPr>
        <w:t>), in consideration of and subject to the performance by Company (together with its subsidiaries,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of its obligations under Executive Employment Agreement by and between Daniel Chen and the Company, dated August 14, 2025 (the “</w:t>
      </w:r>
      <w:r>
        <w:rPr>
          <w:rFonts w:ascii="Times New Roman;serif" w:hAnsi="Times New Roman;serif"/>
          <w:b w:val="false"/>
          <w:color w:val="000000"/>
          <w:sz w:val="22"/>
          <w:u w:val="single"/>
        </w:rPr>
        <w:t>Employment Agreemen</w:t>
      </w:r>
      <w:r>
        <w:rPr>
          <w:rFonts w:ascii="Times New Roman;serif" w:hAnsi="Times New Roman;serif"/>
          <w:b w:val="false"/>
          <w:color w:val="000000"/>
          <w:sz w:val="22"/>
        </w:rPr>
        <w:t>t”) and the Gemini Space Station Executive Severance Plan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as modified by this Release and Separation Agreement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do hereby release and forever discharge as of the date hereof the Company, the Employer and their respective Subsidiaries and all present, former and future managers, directors, officers, employees, successors and assigns of the Company and its affiliates and direct or indirect owners (collectively, the “</w:t>
      </w:r>
      <w:r>
        <w:rPr>
          <w:rFonts w:ascii="Times New Roman;serif" w:hAnsi="Times New Roman;serif"/>
          <w:b w:val="false"/>
          <w:color w:val="000000"/>
          <w:sz w:val="22"/>
          <w:u w:val="single"/>
        </w:rPr>
        <w:t>Released Parties</w:t>
      </w:r>
      <w:r>
        <w:rPr>
          <w:color w:val="000000"/>
        </w:rPr>
        <w:t>”</w:t>
      </w:r>
      <w:r>
        <w:rPr>
          <w:rFonts w:ascii="Times New Roman;serif" w:hAnsi="Times New Roman;serif"/>
          <w:b w:val="false"/>
          <w:color w:val="000000"/>
          <w:sz w:val="22"/>
        </w:rPr>
        <w:t>) to the extent provided below (this “</w:t>
      </w:r>
      <w:r>
        <w:rPr>
          <w:rFonts w:ascii="Times New Roman;serif" w:hAnsi="Times New Roman;serif"/>
          <w:b w:val="false"/>
          <w:color w:val="000000"/>
          <w:sz w:val="22"/>
          <w:u w:val="single"/>
        </w:rPr>
        <w:t>General Release</w:t>
      </w:r>
      <w:r>
        <w:rPr>
          <w:color w:val="000000"/>
        </w:rPr>
        <w:t>”</w:t>
      </w:r>
      <w:r>
        <w:rPr>
          <w:rFonts w:ascii="Times New Roman;serif" w:hAnsi="Times New Roman;serif"/>
          <w:b w:val="false"/>
          <w:color w:val="000000"/>
          <w:sz w:val="22"/>
        </w:rPr>
        <w:t>). The Released Parties are intended to be third-party beneficiaries of this General Release, and this General Release may be enforced by each of them in accordance with the terms hereof in respect of the rights granted to such Released Parties hereunder. Terms used herein but not otherwise defined shall have the meanings given to them in the Employment Agreement and Plan.</w:t>
      </w:r>
    </w:p>
    <w:p>
      <w:pPr>
        <w:pStyle w:val="TextBody"/>
        <w:bidi w:val="0"/>
        <w:spacing w:lineRule="auto" w:line="288" w:before="240" w:after="240"/>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Separation Date</w:t>
      </w:r>
      <w:r>
        <w:rPr>
          <w:rFonts w:ascii="Times New Roman;serif" w:hAnsi="Times New Roman;serif"/>
          <w:b w:val="false"/>
          <w:color w:val="000000"/>
          <w:sz w:val="22"/>
        </w:rPr>
        <w:t xml:space="preserve">. The Employee’s employment or service with the Company and the Employer terminated as of February 20, 2026, and the Employee hereby resigns from any position as an officer, member of the board of managers or directors (as applicable) or fiduciary of the Company or its affiliates (or reaffirm any such resignation that may have already occurred). The Employee understands that any payments or benefits paid or granted to the Employee under this Agreement or the Plan represent, in part, consideration for signing this General Release and are not salary, wages or benefits to which the Employee was already entitled. The Employee understands and agrees that the Employee will not receive certain of the payments and benefits specified under this Agreement or the Plan unless the Employee executes this General Release and does not revoke this General Release within the time period permitted hereafter. </w:t>
      </w:r>
    </w:p>
    <w:p>
      <w:pPr>
        <w:pStyle w:val="TextBody"/>
        <w:bidi w:val="0"/>
        <w:spacing w:lineRule="auto" w:line="288" w:before="240" w:after="240"/>
        <w:ind w:left="0" w:right="0" w:hanging="36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Severance Benefits</w:t>
      </w:r>
      <w:r>
        <w:rPr>
          <w:rFonts w:ascii="Times New Roman;serif" w:hAnsi="Times New Roman;serif"/>
          <w:b w:val="false"/>
          <w:color w:val="000000"/>
          <w:sz w:val="22"/>
        </w:rPr>
        <w:t xml:space="preserve">. </w:t>
      </w:r>
    </w:p>
    <w:p>
      <w:pPr>
        <w:pStyle w:val="TextBody"/>
        <w:bidi w:val="0"/>
        <w:spacing w:lineRule="auto" w:line="288" w:before="24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a.The Employee and the Company agree that the first row of the Severance Benefits Table in Exhibit A of the Plan is hereby amended as follows:</w:t>
      </w:r>
    </w:p>
    <w:tbl>
      <w:tblPr>
        <w:tblW w:w="10205" w:type="dxa"/>
        <w:jc w:val="left"/>
        <w:tblInd w:w="0" w:type="dxa"/>
        <w:tblLayout w:type="fixed"/>
        <w:tblCellMar>
          <w:top w:w="28" w:type="dxa"/>
          <w:left w:w="28" w:type="dxa"/>
          <w:bottom w:w="28" w:type="dxa"/>
          <w:right w:w="28" w:type="dxa"/>
        </w:tblCellMar>
      </w:tblPr>
      <w:tblGrid>
        <w:gridCol w:w="560"/>
        <w:gridCol w:w="491"/>
        <w:gridCol w:w="494"/>
        <w:gridCol w:w="1760"/>
        <w:gridCol w:w="1636"/>
        <w:gridCol w:w="1642"/>
        <w:gridCol w:w="573"/>
        <w:gridCol w:w="573"/>
        <w:gridCol w:w="574"/>
        <w:gridCol w:w="555"/>
        <w:gridCol w:w="555"/>
        <w:gridCol w:w="792"/>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8" w:space="0" w:color="000000"/>
              <w:left w:val="single" w:sz="8" w:space="0" w:color="000000"/>
            </w:tcBorders>
            <w:shd w:fill="C0C0C0" w:val="clear"/>
            <w:tcMar>
              <w:top w:w="30" w:type="dxa"/>
              <w:left w:w="44"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Type of Severance</w:t>
            </w:r>
          </w:p>
        </w:tc>
        <w:tc>
          <w:tcPr>
            <w:tcW w:w="5038" w:type="dxa"/>
            <w:gridSpan w:val="3"/>
            <w:tcBorders>
              <w:top w:val="single" w:sz="8" w:space="0" w:color="000000"/>
              <w:left w:val="single" w:sz="8" w:space="0" w:color="000000"/>
            </w:tcBorders>
            <w:shd w:fill="C0C0C0"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Cash Severance</w:t>
            </w:r>
          </w:p>
        </w:tc>
        <w:tc>
          <w:tcPr>
            <w:tcW w:w="1720" w:type="dxa"/>
            <w:gridSpan w:val="3"/>
            <w:tcBorders>
              <w:top w:val="single" w:sz="8" w:space="0" w:color="000000"/>
              <w:left w:val="single" w:sz="8" w:space="0" w:color="000000"/>
            </w:tcBorders>
            <w:shd w:fill="C0C0C0" w:val="clear"/>
            <w:tcMar>
              <w:top w:w="30" w:type="dxa"/>
              <w:left w:w="44"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Equity Vesting Acceleration</w:t>
            </w:r>
          </w:p>
        </w:tc>
        <w:tc>
          <w:tcPr>
            <w:tcW w:w="1902" w:type="dxa"/>
            <w:gridSpan w:val="3"/>
            <w:tcBorders>
              <w:top w:val="single" w:sz="8" w:space="0" w:color="000000"/>
              <w:left w:val="single" w:sz="8" w:space="0" w:color="000000"/>
              <w:right w:val="single" w:sz="8" w:space="0" w:color="000000"/>
            </w:tcBorders>
            <w:shd w:fill="C0C0C0" w:val="clear"/>
            <w:tcMar>
              <w:top w:w="30" w:type="dxa"/>
              <w:left w:w="44" w:type="dxa"/>
              <w:bottom w:w="0" w:type="dxa"/>
              <w:right w:w="44"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Healthcare Continuation Benefit</w:t>
            </w:r>
          </w:p>
        </w:tc>
      </w:tr>
      <w:tr>
        <w:trPr/>
        <w:tc>
          <w:tcPr>
            <w:tcW w:w="1545" w:type="dxa"/>
            <w:gridSpan w:val="3"/>
            <w:tcBorders>
              <w:top w:val="single" w:sz="8" w:space="0" w:color="000000"/>
              <w:left w:val="single" w:sz="8" w:space="0" w:color="000000"/>
              <w:bottom w:val="single" w:sz="8" w:space="0" w:color="000000"/>
            </w:tcBorders>
            <w:tcMar>
              <w:top w:w="30" w:type="dxa"/>
              <w:left w:w="44"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Non-CIC Severance Benefits</w:t>
            </w:r>
          </w:p>
        </w:tc>
        <w:tc>
          <w:tcPr>
            <w:tcW w:w="503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An amount equal to $62,861 payable in substantially one monthly installment in accordance with the Company’s normal payroll practices (the “</w:t>
            </w:r>
            <w:r>
              <w:rPr>
                <w:rFonts w:ascii="Times New Roman;serif" w:hAnsi="Times New Roman;serif"/>
                <w:b w:val="false"/>
                <w:color w:val="000000"/>
                <w:sz w:val="22"/>
                <w:u w:val="single"/>
              </w:rPr>
              <w:t>Non-CIC Severance Period</w:t>
            </w:r>
            <w:r>
              <w:rPr>
                <w:color w:val="000000"/>
              </w:rPr>
              <w:t>”</w:t>
            </w:r>
            <w:r>
              <w:rPr>
                <w:rFonts w:ascii="Times New Roman;serif" w:hAnsi="Times New Roman;serif"/>
                <w:b w:val="false"/>
                <w:color w:val="000000"/>
                <w:sz w:val="22"/>
              </w:rPr>
              <w:t xml:space="preserve">). </w:t>
            </w:r>
          </w:p>
        </w:tc>
        <w:tc>
          <w:tcPr>
            <w:tcW w:w="1720" w:type="dxa"/>
            <w:gridSpan w:val="3"/>
            <w:tcBorders>
              <w:top w:val="single" w:sz="8" w:space="0" w:color="000000"/>
              <w:left w:val="single" w:sz="8" w:space="0" w:color="000000"/>
              <w:bottom w:val="single" w:sz="8" w:space="0" w:color="000000"/>
            </w:tcBorders>
            <w:tcMar>
              <w:top w:w="30" w:type="dxa"/>
              <w:left w:w="33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902" w:type="dxa"/>
            <w:gridSpan w:val="3"/>
            <w:tcBorders>
              <w:top w:val="single" w:sz="8" w:space="0" w:color="000000"/>
              <w:left w:val="single" w:sz="8" w:space="0" w:color="000000"/>
              <w:bottom w:val="single" w:sz="8" w:space="0" w:color="000000"/>
              <w:right w:val="single" w:sz="8" w:space="0" w:color="000000"/>
            </w:tcBorders>
            <w:tcMar>
              <w:top w:w="30" w:type="dxa"/>
              <w:left w:w="67"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An amount equal to $1,998. </w:t>
            </w:r>
          </w:p>
        </w:tc>
      </w:tr>
    </w:tbl>
    <w:p>
      <w:pPr>
        <w:pStyle w:val="TextBody"/>
        <w:bidi w:val="0"/>
        <w:spacing w:lineRule="auto" w:line="288" w:before="24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b.For the avoidance of doubt, the Employee acknowledges and agrees that the Severance Benefits described in this Section 2 are the exclusive benefits that the Employee is entitled to under the Plan. </w:t>
      </w:r>
    </w:p>
    <w:p>
      <w:pPr>
        <w:pStyle w:val="TextBody"/>
        <w:bidi w:val="0"/>
        <w:spacing w:before="0" w:after="0"/>
        <w:jc w:val="both"/>
        <w:rPr/>
      </w:pPr>
      <w:r>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175260"/>
                <wp:effectExtent l="0" t="0" r="0" b="0"/>
                <wp:wrapNone/>
                <wp:docPr id="422" name="Frame4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hanging="36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Consideration for Release</w:t>
      </w:r>
      <w:r>
        <w:rPr>
          <w:rFonts w:ascii="Times New Roman;serif" w:hAnsi="Times New Roman;serif"/>
          <w:b w:val="false"/>
          <w:color w:val="000000"/>
          <w:sz w:val="22"/>
        </w:rPr>
        <w:t xml:space="preserve">. The Employee understands and agrees that such payments and benefits are subject to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of the Employment Agreement and compliance with the terms of the Plan, which (as noted below) expressly survives my termination of employment and the execution of this General Release. Such payments and benefits will not be considered compensation for purposes of any employee benefit plan, program, policy or arrangement maintained or hereafter established by the Company or its affiliates.</w:t>
      </w:r>
    </w:p>
    <w:p>
      <w:pPr>
        <w:pStyle w:val="TextBody"/>
        <w:bidi w:val="0"/>
        <w:spacing w:lineRule="auto" w:line="288" w:before="240" w:after="240"/>
        <w:ind w:left="0" w:right="0" w:hanging="36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Release</w:t>
      </w:r>
      <w:r>
        <w:rPr>
          <w:rFonts w:ascii="Times New Roman;serif" w:hAnsi="Times New Roman;serif"/>
          <w:b w:val="false"/>
          <w:color w:val="000000"/>
          <w:sz w:val="22"/>
        </w:rPr>
        <w:t>.</w:t>
      </w:r>
    </w:p>
    <w:p>
      <w:pPr>
        <w:pStyle w:val="TextBody"/>
        <w:bidi w:val="0"/>
        <w:spacing w:lineRule="auto" w:line="288" w:before="240" w:after="240"/>
        <w:ind w:left="0" w:right="0" w:hanging="360"/>
        <w:jc w:val="both"/>
        <w:rPr/>
      </w:pPr>
      <w:r>
        <w:rPr>
          <w:rFonts w:ascii="Times New Roman;serif" w:hAnsi="Times New Roman;serif"/>
          <w:b w:val="false"/>
          <w:color w:val="000000"/>
          <w:sz w:val="22"/>
        </w:rPr>
        <w:t xml:space="preserve">a.Except as provided in </w:t>
      </w:r>
      <w:r>
        <w:rPr>
          <w:rFonts w:ascii="Times New Roman;serif" w:hAnsi="Times New Roman;serif"/>
          <w:b w:val="false"/>
          <w:color w:val="000000"/>
          <w:sz w:val="22"/>
          <w:u w:val="single"/>
        </w:rPr>
        <w:t>Section 4(b)</w:t>
      </w:r>
      <w:r>
        <w:rPr>
          <w:color w:val="000000"/>
        </w:rPr>
        <w:t xml:space="preserve"> </w:t>
      </w:r>
      <w:r>
        <w:rPr>
          <w:rFonts w:ascii="Times New Roman;serif" w:hAnsi="Times New Roman;serif"/>
          <w:b w:val="false"/>
          <w:color w:val="000000"/>
          <w:sz w:val="22"/>
        </w:rPr>
        <w:t>below, the Employee knowingly and voluntarily (for the Employee’s self, the Employee’s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that this General Release becomes effective and enforceable) and whether known or unknown, suspected, or claimed against the Company or any of the Released Parties which the Employee, the Employee’s spouse, or any of the Employee’s heirs, executors, administrators or assigns, may have, which arise out of or are connected with the Employee’s employment with, or the Employee’s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Employee’s waiver of Claims under the ADEA and OWBPA, collectively “</w:t>
      </w:r>
      <w:r>
        <w:rPr>
          <w:rFonts w:ascii="Times New Roman;serif" w:hAnsi="Times New Roman;serif"/>
          <w:b w:val="false"/>
          <w:color w:val="000000"/>
          <w:sz w:val="22"/>
          <w:u w:val="single"/>
        </w:rPr>
        <w:t>ADEA Waiver</w:t>
      </w:r>
      <w:r>
        <w:rPr>
          <w:color w:val="000000"/>
        </w:rPr>
        <w:t>”</w:t>
      </w:r>
      <w:r>
        <w:rPr>
          <w:rFonts w:ascii="Times New Roman;serif" w:hAnsi="Times New Roman;serif"/>
          <w:b w:val="false"/>
          <w:color w:val="000000"/>
          <w:sz w:val="22"/>
        </w:rPr>
        <w:t>); the Equal Pay Act of 1963, as amended; the Americans with Disabilities Act of 1990; the Family and Medical Leave Act of 1993; the Worker Adjustment Retraining and Notification Act; the Employee Retirement Income Security Act of 1974; any applicable Executive Order Programs; the Fair Labor Standards Act; or their state or local counterparts; the New York State Human Rights Law; the New York State Labor Law; the New York State Worker Adjustment and Retraining Notification Act; the New York Workers’ Compensation Law; the New York State Civil Rights Law; the New York State Corrections Law; the New York City Earned Safe and Sick Time Act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w:t>
      </w:r>
      <w:r>
        <w:rPr>
          <w:rFonts w:ascii="Times New Roman;serif" w:hAnsi="Times New Roman;serif"/>
          <w:b w:val="false"/>
          <w:color w:val="000000"/>
          <w:sz w:val="22"/>
          <w:u w:val="single"/>
        </w:rPr>
        <w:t>Claims</w:t>
      </w:r>
      <w:r>
        <w:rPr>
          <w:color w:val="000000"/>
        </w:rPr>
        <w:t>”</w:t>
      </w:r>
      <w:r>
        <w:rPr>
          <w:rFonts w:ascii="Times New Roman;serif" w:hAnsi="Times New Roman;serif"/>
          <w:b w:val="false"/>
          <w:color w:val="000000"/>
          <w:sz w:val="22"/>
        </w:rPr>
        <w:t xml:space="preserve">). </w:t>
      </w:r>
    </w:p>
    <w:p>
      <w:pPr>
        <w:pStyle w:val="TextBody"/>
        <w:bidi w:val="0"/>
        <w:spacing w:lineRule="auto" w:line="288" w:before="24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b.Notwithstanding the foregoing, nothing contained in this general release shall in any way diminish or impair: (i) the Employee’s right to enforce this General Release; (ii) rights under this General Release; (iii) any Claims the Employee may have that cannot be waived under applicable law, such as Claims for unemployment benefits, workers compensation and disability benefits; (iv) the Employee’s right to challenge the validity of the waiver of age discrimination claims under the ADEA; (v) any </w:t>
      </w:r>
    </w:p>
    <w:p>
      <w:pPr>
        <w:pStyle w:val="TextBody"/>
        <w:bidi w:val="0"/>
        <w:spacing w:before="0" w:after="0"/>
        <w:jc w:val="both"/>
        <w:rPr/>
      </w:pPr>
      <w:r>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367665"/>
                <wp:effectExtent l="0" t="0" r="0" b="0"/>
                <wp:wrapNone/>
                <wp:docPr id="423" name="Frame42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rights to indemnification which Employee might have as a result of the Employee’s employment with the Company; (vi) any rights Employee may have to vested benefits under employee benefit plans; or (v) .</w:t>
      </w:r>
    </w:p>
    <w:p>
      <w:pPr>
        <w:pStyle w:val="TextBody"/>
        <w:bidi w:val="0"/>
        <w:spacing w:lineRule="auto" w:line="288" w:before="240" w:after="240"/>
        <w:ind w:left="0" w:right="0" w:hanging="360"/>
        <w:jc w:val="both"/>
        <w:rPr/>
      </w:pPr>
      <w:r>
        <w:rPr>
          <w:rFonts w:ascii="Times New Roman;serif" w:hAnsi="Times New Roman;serif"/>
          <w:b w:val="false"/>
          <w:color w:val="000000"/>
          <w:sz w:val="22"/>
        </w:rPr>
        <w:t>c.The Employee represents that he has never commenced or filed, or caused to be commenced or filed, any lawsuit or arbitration against any of the Released Parties. Except as otherwise provided in Section 4(b) of this Agreement, the Employee further agrees not to directly or indirectly commence, file, or in any way pursue, or cause or assist any person or entity to commence, file, or pursue, any lawsuit or arbitration against any of the Releasees in the future. The Employee represents that the Employee has made no assignment or transfer of any right, claim, demand, cause of action, or other matter covered by Section 4(a) above.</w:t>
      </w:r>
      <w:r>
        <w:rPr>
          <w:color w:val="000000"/>
        </w:rPr>
        <w:t xml:space="preserve"> </w:t>
      </w:r>
      <w:r>
        <w:rPr>
          <w:rFonts w:ascii="Times New Roman;serif" w:hAnsi="Times New Roman;serif"/>
          <w:b w:val="false"/>
          <w:color w:val="000000"/>
          <w:sz w:val="22"/>
        </w:rPr>
        <w:t>For avoidance of doubt, nothing in this Agreement, any other agreement between the Parties, or any Company policy shall prevent the Employee from filing a charge with the Securities and Exchange Commission (the “SEC”), the Equal Employment Opportunity Commission (the “EEOC”), the National Labor Relations Board (the “NLRB”), or any other government agency or participating in any SEC, EEOC, NLRB, or other agency investigation.</w:t>
      </w:r>
    </w:p>
    <w:p>
      <w:pPr>
        <w:pStyle w:val="TextBody"/>
        <w:bidi w:val="0"/>
        <w:spacing w:lineRule="auto" w:line="288" w:before="0" w:after="0"/>
        <w:ind w:left="0" w:right="0" w:hanging="360"/>
        <w:jc w:val="both"/>
        <w:rPr/>
      </w:pPr>
      <w:r>
        <w:rPr>
          <w:rFonts w:ascii="Times New Roman;serif" w:hAnsi="Times New Roman;serif"/>
          <w:b w:val="false"/>
          <w:color w:val="000000"/>
          <w:sz w:val="22"/>
        </w:rPr>
        <w:t>5.</w:t>
      </w:r>
      <w:r>
        <w:rPr>
          <w:rFonts w:ascii="Times New Roman;serif" w:hAnsi="Times New Roman;serif"/>
          <w:b w:val="false"/>
          <w:color w:val="1C1C21"/>
          <w:sz w:val="22"/>
          <w:u w:val="single"/>
        </w:rPr>
        <w:t>No Admission</w:t>
      </w:r>
      <w:r>
        <w:rPr>
          <w:rFonts w:ascii="Times New Roman;serif" w:hAnsi="Times New Roman;serif"/>
          <w:b w:val="false"/>
          <w:color w:val="343436"/>
          <w:sz w:val="22"/>
        </w:rPr>
        <w:t>.</w:t>
      </w:r>
      <w:r>
        <w:rPr>
          <w:color w:val="1C1C21"/>
        </w:rPr>
        <w:t xml:space="preserve"> </w:t>
      </w:r>
      <w:r>
        <w:rPr>
          <w:rFonts w:ascii="Times New Roman;serif" w:hAnsi="Times New Roman;serif"/>
          <w:b w:val="false"/>
          <w:color w:val="1C1C21"/>
          <w:sz w:val="22"/>
        </w:rPr>
        <w:t>Nothing herein shall be deemed to constitute an admission of wrongdoing by the Employee or the Released Parties</w:t>
      </w:r>
      <w:r>
        <w:rPr>
          <w:rFonts w:ascii="Times New Roman;serif" w:hAnsi="Times New Roman;serif"/>
          <w:b w:val="false"/>
          <w:color w:val="494949"/>
          <w:sz w:val="22"/>
        </w:rPr>
        <w:t xml:space="preserve">. </w:t>
      </w:r>
      <w:r>
        <w:rPr>
          <w:rFonts w:ascii="Times New Roman;serif" w:hAnsi="Times New Roman;serif"/>
          <w:b w:val="false"/>
          <w:color w:val="1C1C21"/>
          <w:sz w:val="22"/>
        </w:rPr>
        <w:t>Neither this General Release nor any of its terms may be used as an admission or introduced as evidence as to any issue of law or fact in any proceeding, suit or action, other than an action to enforce this General Release.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6.</w:t>
      </w:r>
      <w:r>
        <w:rPr>
          <w:rFonts w:ascii="Times New Roman;serif" w:hAnsi="Times New Roman;serif"/>
          <w:b w:val="false"/>
          <w:color w:val="1C1C21"/>
          <w:sz w:val="22"/>
          <w:u w:val="single"/>
        </w:rPr>
        <w:t>Knowing and Voluntary Agreement; Effectiveness</w:t>
      </w:r>
      <w:r>
        <w:rPr>
          <w:rFonts w:ascii="Times New Roman;serif" w:hAnsi="Times New Roman;serif"/>
          <w:b w:val="false"/>
          <w:color w:val="343436"/>
          <w:sz w:val="22"/>
        </w:rPr>
        <w:t xml:space="preserve">. </w:t>
      </w:r>
      <w:r>
        <w:rPr>
          <w:rFonts w:ascii="Times New Roman;serif" w:hAnsi="Times New Roman;serif"/>
          <w:b w:val="false"/>
          <w:color w:val="1C1C21"/>
          <w:sz w:val="22"/>
        </w:rPr>
        <w:t xml:space="preserve">The Company advises the Employee to consult with an attorney of the Employee’s choosing prior to executing this General Release. The Employee represents that the Employee has had the opportunity to review this Release and, specifically, the general release of claims set forth in </w:t>
      </w:r>
      <w:r>
        <w:rPr>
          <w:rFonts w:ascii="Times New Roman;serif" w:hAnsi="Times New Roman;serif"/>
          <w:b w:val="false"/>
          <w:color w:val="1C1C21"/>
          <w:sz w:val="22"/>
          <w:u w:val="single"/>
        </w:rPr>
        <w:t>Section 4</w:t>
      </w:r>
      <w:r>
        <w:rPr>
          <w:color w:val="1C1C21"/>
        </w:rPr>
        <w:t xml:space="preserve"> </w:t>
      </w:r>
      <w:r>
        <w:rPr>
          <w:rFonts w:ascii="Times New Roman;serif" w:hAnsi="Times New Roman;serif"/>
          <w:b w:val="false"/>
          <w:color w:val="1C1C21"/>
          <w:sz w:val="22"/>
        </w:rPr>
        <w:t>of this General Release, with an attorney of the Employee’s choice. The Employee also agrees and acknowledges that the Employee is receiving benefits and payments to which the Employee would not otherwise be entitled unless the Employee executes this General Release and does not timely revoke the Employee’s consent to this General Release, that the Employee has voluntarily consented to this General Release, and that Employee has entered into this General Release freely, knowingly and voluntarily</w:t>
      </w:r>
      <w:r>
        <w:rPr>
          <w:rFonts w:ascii="Times New Roman;serif" w:hAnsi="Times New Roman;serif"/>
          <w:b w:val="false"/>
          <w:color w:val="494949"/>
          <w:sz w:val="22"/>
        </w:rPr>
        <w: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7.</w:t>
      </w:r>
      <w:r>
        <w:rPr>
          <w:rFonts w:ascii="Times New Roman;serif" w:hAnsi="Times New Roman;serif"/>
          <w:b w:val="false"/>
          <w:color w:val="1C1C21"/>
          <w:sz w:val="22"/>
          <w:u w:val="single"/>
        </w:rPr>
        <w:t>Review and Revocation Rights</w:t>
      </w:r>
      <w:r>
        <w:rPr>
          <w:rFonts w:ascii="Times New Roman;serif" w:hAnsi="Times New Roman;serif"/>
          <w:b w:val="false"/>
          <w:color w:val="1C1C21"/>
          <w:sz w:val="22"/>
        </w:rPr>
        <w:t>.</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a.</w:t>
      </w:r>
      <w:r>
        <w:rPr>
          <w:rFonts w:ascii="Times New Roman;serif" w:hAnsi="Times New Roman;serif"/>
          <w:b w:val="false"/>
          <w:color w:val="1C1C21"/>
          <w:sz w:val="22"/>
        </w:rPr>
        <w:t xml:space="preserve">The Employee acknowledges and agrees that Employee has (i) carefully read and understand the terms and effects of this General Release, (ii) been advised by the Company to consult with an attorney prior to executing and re-executing this General Release, (iii) executed this General Release knowingly, voluntarily and of the Employee’s own free will in exchange for good and valuable consideration to which the Employee is not otherwise entitled, and (iv) the Employee has the full power, capacity and authority to enter into this General Release. </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val="false"/>
          <w:color w:val="000000"/>
          <w:sz w:val="22"/>
        </w:rPr>
        <w:t>b.</w:t>
      </w:r>
      <w:r>
        <w:rPr>
          <w:rFonts w:ascii="Times New Roman;serif" w:hAnsi="Times New Roman;serif"/>
          <w:b w:val="false"/>
          <w:color w:val="1C1C21"/>
          <w:sz w:val="22"/>
        </w:rPr>
        <w:t xml:space="preserve">The Employee acknowledges and agrees that the Employee received a copy of this Release on March 29, 2026, and Employee has twenty-one (21) days following the Employee’s receipt of this General Release to consider the terms of this General Release, and sign and return this General Release; </w:t>
      </w:r>
      <w:r>
        <w:rPr>
          <w:rFonts w:ascii="Times New Roman;serif" w:hAnsi="Times New Roman;serif"/>
          <w:b w:val="false"/>
          <w:color w:val="1C1C21"/>
          <w:sz w:val="22"/>
          <w:u w:val="single"/>
        </w:rPr>
        <w:t>provided</w:t>
      </w:r>
      <w:r>
        <w:rPr>
          <w:rFonts w:ascii="Times New Roman;serif" w:hAnsi="Times New Roman;serif"/>
          <w:b w:val="false"/>
          <w:color w:val="1C1C21"/>
          <w:sz w:val="22"/>
        </w:rPr>
        <w:t xml:space="preserve">, </w:t>
      </w:r>
      <w:r>
        <w:rPr>
          <w:rFonts w:ascii="Times New Roman;serif" w:hAnsi="Times New Roman;serif"/>
          <w:b w:val="false"/>
          <w:color w:val="1C1C21"/>
          <w:sz w:val="22"/>
          <w:u w:val="single"/>
        </w:rPr>
        <w:t>however</w:t>
      </w:r>
      <w:r>
        <w:rPr>
          <w:rFonts w:ascii="Times New Roman;serif" w:hAnsi="Times New Roman;serif"/>
          <w:b w:val="false"/>
          <w:color w:val="1C1C21"/>
          <w:sz w:val="22"/>
        </w:rPr>
        <w:t xml:space="preserve">, the Employee may sign and </w:t>
      </w:r>
    </w:p>
    <w:p>
      <w:pPr>
        <w:pStyle w:val="TextBody"/>
        <w:bidi w:val="0"/>
        <w:spacing w:before="0" w:after="0"/>
        <w:jc w:val="both"/>
        <w:rPr/>
      </w:pPr>
      <w:r>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367665"/>
                <wp:effectExtent l="0" t="0" r="0" b="0"/>
                <wp:wrapNone/>
                <wp:docPr id="424" name="Frame42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1C1C21"/>
          <w:sz w:val="22"/>
        </w:rPr>
      </w:pPr>
      <w:r>
        <w:rPr>
          <w:rFonts w:ascii="Times New Roman;serif" w:hAnsi="Times New Roman;serif"/>
          <w:b w:val="false"/>
          <w:color w:val="1C1C21"/>
          <w:sz w:val="22"/>
        </w:rPr>
        <w:t xml:space="preserve">return this General Release before the expiration of the twenty-one (21)-day consideration period. In the event that the Employee executes and returns this General Release before the expiration of the twenty-one (21)-day consideration period, the Employee acknowledges that such decision was entirely voluntary and that the Employee had the opportunity to consider the General Release for the entire twenty-one (21)-day consideration period. Once the Employee signs this General Release, the Employee will have seven (7) days following the date on which the Employee signed this General Release to revoke the Employee’s consent to the ADEA Waiver.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c.This General Release will become effective on the date the Employee executes this Agreement (the “</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 xml:space="preserve">), provided that the Employee has not revoked the Employee’s consent to this ADEA Waiver within the seven (7) day revocation period. If the Employee revokes his ADEA Waiver, then the Employee’s release of Claims arising under the ADEA and OWBPA will be null and void and of no force or effect and the Employee shall not be entitled to receive the remaining Severance Benefits pursuant to </w:t>
      </w:r>
      <w:r>
        <w:rPr>
          <w:rFonts w:ascii="Times New Roman;serif" w:hAnsi="Times New Roman;serif"/>
          <w:b w:val="false"/>
          <w:color w:val="000000"/>
          <w:sz w:val="22"/>
          <w:u w:val="single"/>
        </w:rPr>
        <w:t>Section 2(a)</w:t>
      </w:r>
      <w:r>
        <w:rPr>
          <w:rFonts w:ascii="Times New Roman;serif" w:hAnsi="Times New Roman;serif"/>
          <w:b w:val="false"/>
          <w:color w:val="000000"/>
          <w:sz w:val="22"/>
        </w:rPr>
        <w:t xml:space="preserve">; provided that this Agreement and the Employee’s waiver of all other Claims as set forth in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 xml:space="preserve">shall remain in full force and effect.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d.</w:t>
      </w:r>
      <w:r>
        <w:rPr>
          <w:rFonts w:ascii="Times New Roman;serif" w:hAnsi="Times New Roman;serif"/>
          <w:b w:val="false"/>
          <w:color w:val="1C1C21"/>
          <w:sz w:val="22"/>
          <w:u w:val="single"/>
        </w:rPr>
        <w:t>ADEA Notice</w:t>
      </w:r>
      <w:r>
        <w:rPr>
          <w:rFonts w:ascii="Times New Roman;serif" w:hAnsi="Times New Roman;serif"/>
          <w:b w:val="false"/>
          <w:color w:val="1C1C21"/>
          <w:sz w:val="22"/>
        </w:rPr>
        <w:t xml:space="preserve">. The Employee acknowledges and agrees that this General Release includes a waiver of claims under the ADEA and OWBPA. The Employee specifically acknowledges that the Employee understands that the payments described in the Plan are offered as consideration for the Employee’s agreement to this General Release, including any claims based upon the ADEA and OWBPA set forth in </w:t>
      </w:r>
      <w:r>
        <w:rPr>
          <w:rFonts w:ascii="Times New Roman;serif" w:hAnsi="Times New Roman;serif"/>
          <w:b w:val="false"/>
          <w:color w:val="1C1C21"/>
          <w:sz w:val="22"/>
          <w:u w:val="single"/>
        </w:rPr>
        <w:t>Section 4</w:t>
      </w:r>
      <w:r>
        <w:rPr>
          <w:color w:val="1C1C21"/>
        </w:rPr>
        <w:t xml:space="preserve"> </w:t>
      </w:r>
      <w:r>
        <w:rPr>
          <w:rFonts w:ascii="Times New Roman;serif" w:hAnsi="Times New Roman;serif"/>
          <w:b w:val="false"/>
          <w:color w:val="1C1C21"/>
          <w:sz w:val="22"/>
        </w:rPr>
        <w:t xml:space="preserve">above, as well as Employee’s compliance with this General Release, including, but not limited to, the terms of </w:t>
      </w:r>
      <w:r>
        <w:rPr>
          <w:rFonts w:ascii="Times New Roman;serif" w:hAnsi="Times New Roman;serif"/>
          <w:b w:val="false"/>
          <w:color w:val="1C1C21"/>
          <w:sz w:val="22"/>
          <w:u w:val="single"/>
        </w:rPr>
        <w:t>Section 7</w:t>
      </w:r>
      <w:r>
        <w:rPr>
          <w:color w:val="1C1C21"/>
        </w:rPr>
        <w:t xml:space="preserve"> </w:t>
      </w:r>
      <w:r>
        <w:rPr>
          <w:rFonts w:ascii="Times New Roman;serif" w:hAnsi="Times New Roman;serif"/>
          <w:b w:val="false"/>
          <w:color w:val="1C1C21"/>
          <w:sz w:val="22"/>
        </w:rPr>
        <w:t xml:space="preserve">of the General Release.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Return of Property</w:t>
      </w:r>
      <w:r>
        <w:rPr>
          <w:rFonts w:ascii="Times New Roman;serif" w:hAnsi="Times New Roman;serif"/>
          <w:b w:val="false"/>
          <w:color w:val="000000"/>
          <w:sz w:val="22"/>
        </w:rPr>
        <w:t>. The Employee must immediately return to the Company all property of the Company in Employee’s possession, custody or control, including documents and materials, that contain non-public, confidential or proprietary information.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9.</w:t>
      </w:r>
      <w:r>
        <w:rPr>
          <w:rFonts w:ascii="Times New Roman;serif" w:hAnsi="Times New Roman;serif"/>
          <w:b w:val="false"/>
          <w:color w:val="1C1C21"/>
          <w:sz w:val="22"/>
          <w:u w:val="single"/>
        </w:rPr>
        <w:t>Titles and Headings</w:t>
      </w:r>
      <w:r>
        <w:rPr>
          <w:rFonts w:ascii="Times New Roman;serif" w:hAnsi="Times New Roman;serif"/>
          <w:b w:val="false"/>
          <w:color w:val="1C1C21"/>
          <w:sz w:val="22"/>
        </w:rPr>
        <w:t>. Titles and headings to sections, subsections and sub-subsections of this General Release are for the purposes of reference only and shall not affect the interpretation of this General Release.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General Release may be executed in counterparts, and each counterpart, when so executed and delivered, shall be deemed to be an original and both counterparts, taken together, shall constitute one and the same General Release. A faxed or pdf-ed signature shall operate the same as an original signature.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Assignment</w:t>
      </w:r>
      <w:r>
        <w:rPr>
          <w:rFonts w:ascii="Times New Roman;serif" w:hAnsi="Times New Roman;serif"/>
          <w:b w:val="false"/>
          <w:color w:val="000000"/>
          <w:sz w:val="22"/>
        </w:rPr>
        <w:t>. This General Release may not be assigned by the Employee. This General Release shall be assignable by the Company, in whole or in part, and will inure to the benefit of and be binding upon the Company and any successor organization which shall succeed to the Company by merger or consolidation or operation of law, or by acquisition of assets of the Company.</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Modification; Severability</w:t>
      </w:r>
      <w:r>
        <w:rPr>
          <w:rFonts w:ascii="Times New Roman;serif" w:hAnsi="Times New Roman;serif"/>
          <w:b w:val="false"/>
          <w:color w:val="000000"/>
          <w:sz w:val="22"/>
        </w:rPr>
        <w:t xml:space="preserve">. In the event that a court of competent jurisdiction shall determine that any provision of this General Release or the application thereof is unenforceable in whole or in part because of the scope thereof, the parties hereto agree that said court in making such determination shall have the power to reduce the scope of such provision to the extent </w:t>
      </w:r>
    </w:p>
    <w:p>
      <w:pPr>
        <w:pStyle w:val="TextBody"/>
        <w:bidi w:val="0"/>
        <w:spacing w:before="0" w:after="0"/>
        <w:jc w:val="both"/>
        <w:rPr/>
      </w:pPr>
      <w:r>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367665"/>
                <wp:effectExtent l="0" t="0" r="0" b="0"/>
                <wp:wrapNone/>
                <wp:docPr id="425" name="Frame42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necessary to make it enforceable, and that the General Release in its reduced form shall be valid and enforceable to the full extent permitted by law. The provisions of this General Release are severable and the invalidity of any one or more provisions shall not affect the validity of any other provision.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General Release will be governed by and construed in accordance with the laws of New York, without regard to any conflict of law principles thereof that would give rise to the application of the laws of any other jurisdiction.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No Oral Modifications</w:t>
      </w:r>
      <w:r>
        <w:rPr>
          <w:rFonts w:ascii="Times New Roman;serif" w:hAnsi="Times New Roman;serif"/>
          <w:b w:val="false"/>
          <w:color w:val="000000"/>
          <w:sz w:val="22"/>
        </w:rPr>
        <w:t>. This General Release may not be changed or modified except by an agreement in writing, signed by the parties hereto.</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Continuing Obligations</w:t>
      </w:r>
      <w:r>
        <w:rPr>
          <w:rFonts w:ascii="Times New Roman;serif" w:hAnsi="Times New Roman;serif"/>
          <w:b w:val="false"/>
          <w:color w:val="000000"/>
          <w:sz w:val="22"/>
        </w:rPr>
        <w:t xml:space="preserve">. The Employee acknowledges that the Employee’s obligations to the Company that survive the termination of the Employment Agreement pursuant to Section 9(h) thereof, including without limitation Section 7 of the Employment Agreement remain in full force and effect remain in full force and effect and are </w:t>
      </w:r>
      <w:r>
        <w:rPr>
          <w:rFonts w:ascii="Times New Roman;serif" w:hAnsi="Times New Roman;serif"/>
          <w:b w:val="false"/>
          <w:color w:val="000000"/>
          <w:sz w:val="24"/>
        </w:rPr>
        <w:t>incorporated</w:t>
      </w:r>
      <w:r>
        <w:rPr>
          <w:color w:val="000000"/>
        </w:rPr>
        <w:t xml:space="preserve"> </w:t>
      </w:r>
      <w:r>
        <w:rPr>
          <w:rFonts w:ascii="Times New Roman;serif" w:hAnsi="Times New Roman;serif"/>
          <w:b w:val="false"/>
          <w:color w:val="000000"/>
          <w:sz w:val="22"/>
        </w:rPr>
        <w:t>by reference as if set forth herein.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xml:space="preserve">. This General Release constitutes the entire agreement between Employee and any of the Released Parties with respect to the subject matter hereof and supersedes all prior negotiations, representations, arrangements or agreements relating thereto. The Employee represents that in executing this Release, Employee has not relied on any representation or statement not set forth herein. No amendment or modification of this General Release shall be valid or binding on the parties unless in writing and signed by both parties.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120"/>
        <w:ind w:left="0" w:right="0" w:hanging="5"/>
        <w:jc w:val="both"/>
        <w:rPr>
          <w:rFonts w:ascii="Times New Roman;serif" w:hAnsi="Times New Roman;serif"/>
          <w:b w:val="false"/>
          <w:color w:val="1C1C21"/>
          <w:sz w:val="22"/>
        </w:rPr>
      </w:pPr>
      <w:r>
        <w:rPr>
          <w:rFonts w:ascii="Times New Roman;serif" w:hAnsi="Times New Roman;serif"/>
          <w:b w:val="false"/>
          <w:color w:val="1C1C21"/>
          <w:sz w:val="22"/>
        </w:rPr>
        <w:t>IN WITNESS WHEREOF, this General Release is executed by the Employee and the Company on the below written date(s).</w:t>
      </w:r>
    </w:p>
    <w:p>
      <w:pPr>
        <w:pStyle w:val="TextBody"/>
        <w:bidi w:val="0"/>
        <w:spacing w:before="0" w:after="120"/>
        <w:ind w:left="0" w:right="0" w:hanging="5"/>
        <w:jc w:val="both"/>
        <w:rPr/>
      </w:pPr>
      <w:r>
        <w:rPr/>
      </w:r>
    </w:p>
    <w:tbl>
      <w:tblPr>
        <w:tblW w:w="5323" w:type="dxa"/>
        <w:jc w:val="left"/>
        <w:tblInd w:w="0" w:type="dxa"/>
        <w:tblLayout w:type="fixed"/>
        <w:tblCellMar>
          <w:top w:w="28" w:type="dxa"/>
          <w:left w:w="28" w:type="dxa"/>
          <w:bottom w:w="28" w:type="dxa"/>
          <w:right w:w="28" w:type="dxa"/>
        </w:tblCellMar>
      </w:tblPr>
      <w:tblGrid>
        <w:gridCol w:w="831"/>
        <w:gridCol w:w="731"/>
        <w:gridCol w:w="732"/>
        <w:gridCol w:w="887"/>
        <w:gridCol w:w="887"/>
        <w:gridCol w:w="1255"/>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Daniel Chen</w:t>
            </w:r>
          </w:p>
          <w:p>
            <w:pPr>
              <w:pStyle w:val="TableContents"/>
              <w:bidi w:val="0"/>
              <w:spacing w:lineRule="auto" w:line="288" w:before="0" w:after="0"/>
              <w:jc w:val="both"/>
              <w:rPr>
                <w:color w:val="000000"/>
              </w:rPr>
            </w:pPr>
            <w:r>
              <w:rPr>
                <w:color w:val="000000"/>
              </w:rPr>
              <w:t>    </w:t>
            </w:r>
          </w:p>
          <w:p>
            <w:pPr>
              <w:pStyle w:val="TableContents"/>
              <w:bidi w:val="0"/>
              <w:spacing w:before="0" w:after="0"/>
              <w:jc w:val="both"/>
              <w:rPr/>
            </w:pPr>
            <w:r>
              <w:rPr/>
            </w:r>
          </w:p>
          <w:p>
            <w:pPr>
              <w:pStyle w:val="TableContents"/>
              <w:bidi w:val="0"/>
              <w:spacing w:lineRule="auto" w:line="288" w:before="0" w:after="0"/>
              <w:jc w:val="both"/>
              <w:rPr/>
            </w:pPr>
            <w:r>
              <w:rPr>
                <w:color w:val="000000"/>
              </w:rPr>
              <w:t>    </w:t>
            </w:r>
            <w:r>
              <w:rPr>
                <w:rFonts w:ascii="Times New Roman;serif" w:hAnsi="Times New Roman;serif"/>
                <w:b w:val="false"/>
                <w:color w:val="000000"/>
                <w:sz w:val="22"/>
                <w:u w:val="single"/>
              </w:rPr>
              <w:t xml:space="preserve">/s/ Dan Chen </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Daniel Chen</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 xml:space="preserve">Dated: </w:t>
            </w:r>
            <w:r>
              <w:rPr>
                <w:rFonts w:ascii="Times New Roman;serif" w:hAnsi="Times New Roman;serif"/>
                <w:b w:val="false"/>
                <w:color w:val="000000"/>
                <w:sz w:val="22"/>
                <w:u w:val="single"/>
              </w:rPr>
              <w:t xml:space="preserve">29 March 2026 </w:t>
            </w:r>
          </w:p>
        </w:tc>
        <w:tc>
          <w:tcPr>
            <w:tcW w:w="302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Gemini Space Station, Inc.</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color w:val="000000"/>
              </w:rPr>
              <w:t>    </w:t>
            </w:r>
            <w:r>
              <w:rPr>
                <w:rFonts w:ascii="Times New Roman;serif" w:hAnsi="Times New Roman;serif"/>
                <w:b w:val="false"/>
                <w:color w:val="000000"/>
                <w:sz w:val="22"/>
                <w:u w:val="single"/>
              </w:rPr>
              <w:t xml:space="preserve">/s/ Cameron Winklevoss </w:t>
            </w:r>
          </w:p>
          <w:p>
            <w:pPr>
              <w:pStyle w:val="TableContents"/>
              <w:bidi w:val="0"/>
              <w:spacing w:lineRule="auto" w:line="288" w:before="0" w:after="0"/>
              <w:jc w:val="both"/>
              <w:rPr/>
            </w:pPr>
            <w:r>
              <w:rPr>
                <w:color w:val="000000"/>
              </w:rPr>
              <w:t>    </w:t>
            </w:r>
            <w:r>
              <w:rPr>
                <w:rFonts w:ascii="Times New Roman;serif" w:hAnsi="Times New Roman;serif"/>
                <w:b w:val="false"/>
                <w:color w:val="000000"/>
                <w:sz w:val="22"/>
                <w:shd w:fill="FFFFFF" w:val="clear"/>
              </w:rPr>
              <w:t>Cameron Winklevoss</w:t>
            </w:r>
          </w:p>
          <w:p>
            <w:pPr>
              <w:pStyle w:val="TableContents"/>
              <w:bidi w:val="0"/>
              <w:spacing w:lineRule="auto" w:line="288" w:before="0" w:after="0"/>
              <w:jc w:val="both"/>
              <w:rPr>
                <w:color w:val="000000"/>
                <w:shd w:fill="FFFFFF" w:val="clear"/>
              </w:rPr>
            </w:pPr>
            <w:r>
              <w:rPr>
                <w:color w:val="000000"/>
                <w:shd w:fill="FFFFFF" w:val="clear"/>
              </w:rPr>
              <w:t>    </w:t>
            </w:r>
            <w:r>
              <w:rPr>
                <w:rFonts w:ascii="Times New Roman;serif" w:hAnsi="Times New Roman;serif"/>
                <w:b w:val="false"/>
                <w:color w:val="000000"/>
                <w:sz w:val="22"/>
                <w:shd w:fill="FFFFFF" w:val="clear"/>
              </w:rPr>
              <w:t>President</w:t>
            </w:r>
          </w:p>
          <w:p>
            <w:pPr>
              <w:pStyle w:val="TableContents"/>
              <w:bidi w:val="0"/>
              <w:spacing w:lineRule="auto" w:line="288" w:before="0" w:after="0"/>
              <w:jc w:val="both"/>
              <w:rPr>
                <w:color w:val="000000"/>
              </w:rPr>
            </w:pPr>
            <w:r>
              <w:rPr>
                <w:color w:val="000000"/>
              </w:rPr>
              <w:t>    </w:t>
            </w:r>
          </w:p>
          <w:p>
            <w:pPr>
              <w:pStyle w:val="TableContents"/>
              <w:bidi w:val="0"/>
              <w:spacing w:lineRule="auto" w:line="288" w:before="0" w:after="0"/>
              <w:jc w:val="both"/>
              <w:rPr/>
            </w:pPr>
            <w:r>
              <w:rPr>
                <w:rFonts w:ascii="Times New Roman;serif" w:hAnsi="Times New Roman;serif"/>
                <w:b w:val="false"/>
                <w:color w:val="000000"/>
                <w:sz w:val="22"/>
              </w:rPr>
              <w:t xml:space="preserve">Dated: </w:t>
            </w:r>
            <w:r>
              <w:rPr>
                <w:rFonts w:ascii="Times New Roman;serif" w:hAnsi="Times New Roman;serif"/>
                <w:b w:val="false"/>
                <w:color w:val="000000"/>
                <w:sz w:val="22"/>
                <w:u w:val="single"/>
              </w:rPr>
              <w:t xml:space="preserve">29 March 2026 </w:t>
            </w:r>
          </w:p>
        </w:tc>
      </w:tr>
    </w:tbl>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t>604394364v.2</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367665"/>
                <wp:effectExtent l="0" t="0" r="0" b="0"/>
                <wp:wrapNone/>
                <wp:docPr id="426" name="Frame42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center"/>
        <w:rPr>
          <w:rFonts w:ascii="Times New Roman;serif" w:hAnsi="Times New Roman;serif"/>
          <w:b/>
          <w:color w:val="000000"/>
          <w:sz w:val="22"/>
        </w:rPr>
      </w:pPr>
      <w:r>
        <w:rPr>
          <w:rFonts w:ascii="Times New Roman;serif" w:hAnsi="Times New Roman;serif"/>
          <w:b/>
          <w:color w:val="000000"/>
          <w:sz w:val="22"/>
        </w:rPr>
        <w:t>RELEASE AND SEPARATION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2"/>
        </w:rPr>
        <w:t>I, Marshall Beard (the “</w:t>
      </w:r>
      <w:r>
        <w:rPr>
          <w:rFonts w:ascii="Times New Roman;serif" w:hAnsi="Times New Roman;serif"/>
          <w:b w:val="false"/>
          <w:color w:val="000000"/>
          <w:sz w:val="22"/>
          <w:u w:val="single"/>
        </w:rPr>
        <w:t>Employee</w:t>
      </w:r>
      <w:r>
        <w:rPr>
          <w:color w:val="000000"/>
        </w:rPr>
        <w:t>”</w:t>
      </w:r>
      <w:r>
        <w:rPr>
          <w:rFonts w:ascii="Times New Roman;serif" w:hAnsi="Times New Roman;serif"/>
          <w:b w:val="false"/>
          <w:color w:val="000000"/>
          <w:sz w:val="22"/>
        </w:rPr>
        <w:t>), in consideration of and subject to the performance by Company (together with its subsidiaries,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of its obligations under Executive Employment Agreement by and between Marshall Beard and the Company, dated August 14, 2025 (the “</w:t>
      </w:r>
      <w:r>
        <w:rPr>
          <w:rFonts w:ascii="Times New Roman;serif" w:hAnsi="Times New Roman;serif"/>
          <w:b w:val="false"/>
          <w:color w:val="000000"/>
          <w:sz w:val="22"/>
          <w:u w:val="single"/>
        </w:rPr>
        <w:t>Employment Agreemen</w:t>
      </w:r>
      <w:r>
        <w:rPr>
          <w:rFonts w:ascii="Times New Roman;serif" w:hAnsi="Times New Roman;serif"/>
          <w:b w:val="false"/>
          <w:color w:val="000000"/>
          <w:sz w:val="22"/>
        </w:rPr>
        <w:t>t”) and the Gemini Space Station Senior Executive Severance Plan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as modified by this Release and Separation Agreement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do hereby release and forever discharge as of the date hereof the Company, the Employer and their respective Subsidiaries and all present, former and future managers, directors, officers, employees, successors and assigns of the Company and its affiliates and direct or indirect owners (collectively, the “</w:t>
      </w:r>
      <w:r>
        <w:rPr>
          <w:rFonts w:ascii="Times New Roman;serif" w:hAnsi="Times New Roman;serif"/>
          <w:b w:val="false"/>
          <w:color w:val="000000"/>
          <w:sz w:val="22"/>
          <w:u w:val="single"/>
        </w:rPr>
        <w:t>Released Parties</w:t>
      </w:r>
      <w:r>
        <w:rPr>
          <w:color w:val="000000"/>
        </w:rPr>
        <w:t>”</w:t>
      </w:r>
      <w:r>
        <w:rPr>
          <w:rFonts w:ascii="Times New Roman;serif" w:hAnsi="Times New Roman;serif"/>
          <w:b w:val="false"/>
          <w:color w:val="000000"/>
          <w:sz w:val="22"/>
        </w:rPr>
        <w:t>) to the extent provided below (this “</w:t>
      </w:r>
      <w:r>
        <w:rPr>
          <w:rFonts w:ascii="Times New Roman;serif" w:hAnsi="Times New Roman;serif"/>
          <w:b w:val="false"/>
          <w:color w:val="000000"/>
          <w:sz w:val="22"/>
          <w:u w:val="single"/>
        </w:rPr>
        <w:t>General Release</w:t>
      </w:r>
      <w:r>
        <w:rPr>
          <w:color w:val="000000"/>
        </w:rPr>
        <w:t>”</w:t>
      </w:r>
      <w:r>
        <w:rPr>
          <w:rFonts w:ascii="Times New Roman;serif" w:hAnsi="Times New Roman;serif"/>
          <w:b w:val="false"/>
          <w:color w:val="000000"/>
          <w:sz w:val="22"/>
        </w:rPr>
        <w:t>). The Released Parties are intended to be third-party beneficiaries of this General Release, and this General Release may be enforced by each of them in accordance with the terms hereof in respect of the rights granted to such Released Parties hereunder. Terms used herein but not otherwise defined shall have the meanings given to them in the Employment Agreement and Plan.</w:t>
      </w:r>
    </w:p>
    <w:p>
      <w:pPr>
        <w:pStyle w:val="TextBody"/>
        <w:bidi w:val="0"/>
        <w:spacing w:lineRule="auto" w:line="288" w:before="240" w:after="240"/>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Separation Date</w:t>
      </w:r>
      <w:r>
        <w:rPr>
          <w:rFonts w:ascii="Times New Roman;serif" w:hAnsi="Times New Roman;serif"/>
          <w:b w:val="false"/>
          <w:color w:val="000000"/>
          <w:sz w:val="22"/>
        </w:rPr>
        <w:t xml:space="preserve">. The Employee’s employment or service with the Company and the Employer terminated as of February 20, 2026, and the Employee hereby resigns from any position as an officer, member of the board of managers or directors (as applicable) or fiduciary of the Company or its affiliates (or reaffirm any such resignation that may have already occurred). The Employee understands that any payments or benefits paid or granted to the Employee under this Agreement or the Plan represent, in part, consideration for signing this General Release and are not salary, wages or benefits to which the Employee was already entitled. The Employee understands and agrees that the Employee will not receive certain of the payments and benefits specified under this Agreement or the Plan unless the Employee executes this General Release and does not revoke this General Release within the time period permitted hereafter. </w:t>
      </w:r>
    </w:p>
    <w:p>
      <w:pPr>
        <w:pStyle w:val="TextBody"/>
        <w:bidi w:val="0"/>
        <w:spacing w:lineRule="auto" w:line="288" w:before="240" w:after="240"/>
        <w:ind w:left="0" w:right="0" w:hanging="36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Severance Benefits</w:t>
      </w:r>
      <w:r>
        <w:rPr>
          <w:rFonts w:ascii="Times New Roman;serif" w:hAnsi="Times New Roman;serif"/>
          <w:b w:val="false"/>
          <w:color w:val="000000"/>
          <w:sz w:val="22"/>
        </w:rPr>
        <w:t>. The Employee and the Company agree that the first row of the Severance Benefits Table in Exhibit A of the Plan is hereby amended as follows:</w:t>
      </w:r>
    </w:p>
    <w:tbl>
      <w:tblPr>
        <w:tblW w:w="10205" w:type="dxa"/>
        <w:jc w:val="left"/>
        <w:tblInd w:w="0" w:type="dxa"/>
        <w:tblLayout w:type="fixed"/>
        <w:tblCellMar>
          <w:top w:w="28" w:type="dxa"/>
          <w:left w:w="28" w:type="dxa"/>
          <w:bottom w:w="28" w:type="dxa"/>
          <w:right w:w="28" w:type="dxa"/>
        </w:tblCellMar>
      </w:tblPr>
      <w:tblGrid>
        <w:gridCol w:w="471"/>
        <w:gridCol w:w="413"/>
        <w:gridCol w:w="415"/>
        <w:gridCol w:w="1236"/>
        <w:gridCol w:w="1088"/>
        <w:gridCol w:w="1091"/>
        <w:gridCol w:w="971"/>
        <w:gridCol w:w="876"/>
        <w:gridCol w:w="878"/>
        <w:gridCol w:w="931"/>
        <w:gridCol w:w="756"/>
        <w:gridCol w:w="1079"/>
      </w:tblGrid>
      <w:tr>
        <w:trPr/>
        <w:tc>
          <w:tcPr>
            <w:tcW w:w="4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1299" w:type="dxa"/>
            <w:gridSpan w:val="3"/>
            <w:tcBorders>
              <w:top w:val="single" w:sz="8" w:space="0" w:color="000000"/>
              <w:left w:val="single" w:sz="8" w:space="0" w:color="000000"/>
            </w:tcBorders>
            <w:shd w:fill="C0C0C0"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Type of Severance</w:t>
            </w:r>
          </w:p>
        </w:tc>
        <w:tc>
          <w:tcPr>
            <w:tcW w:w="3415" w:type="dxa"/>
            <w:gridSpan w:val="3"/>
            <w:tcBorders>
              <w:top w:val="single" w:sz="8" w:space="0" w:color="000000"/>
              <w:left w:val="single" w:sz="8" w:space="0" w:color="000000"/>
            </w:tcBorders>
            <w:shd w:fill="C0C0C0"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Cash Severance</w:t>
            </w:r>
          </w:p>
        </w:tc>
        <w:tc>
          <w:tcPr>
            <w:tcW w:w="2725" w:type="dxa"/>
            <w:gridSpan w:val="3"/>
            <w:tcBorders>
              <w:top w:val="single" w:sz="8" w:space="0" w:color="000000"/>
              <w:left w:val="single" w:sz="8" w:space="0" w:color="000000"/>
            </w:tcBorders>
            <w:shd w:fill="C0C0C0"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Equity Vesting Acceleration*</w:t>
            </w:r>
          </w:p>
        </w:tc>
        <w:tc>
          <w:tcPr>
            <w:tcW w:w="2766" w:type="dxa"/>
            <w:gridSpan w:val="3"/>
            <w:tcBorders>
              <w:top w:val="single" w:sz="8" w:space="0" w:color="000000"/>
              <w:left w:val="single" w:sz="8" w:space="0" w:color="000000"/>
              <w:right w:val="single" w:sz="8" w:space="0" w:color="000000"/>
            </w:tcBorders>
            <w:shd w:fill="C0C0C0"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Healthcare Continuation Benefit</w:t>
            </w:r>
          </w:p>
        </w:tc>
      </w:tr>
      <w:tr>
        <w:trPr/>
        <w:tc>
          <w:tcPr>
            <w:tcW w:w="1299" w:type="dxa"/>
            <w:gridSpan w:val="3"/>
            <w:tcBorders>
              <w:top w:val="single" w:sz="8" w:space="0" w:color="000000"/>
              <w:left w:val="single" w:sz="8" w:space="0" w:color="000000"/>
              <w:bottom w:val="single" w:sz="8"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Non-CIC Severance Benefits</w:t>
            </w:r>
          </w:p>
        </w:tc>
        <w:tc>
          <w:tcPr>
            <w:tcW w:w="34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An amount equal to $393,210, payable in substantially equal monthly installments over a period of three (3) months from the date hereof in accordance with the Company’s normal payroll practices (the “</w:t>
            </w:r>
            <w:r>
              <w:rPr>
                <w:rFonts w:ascii="Times New Roman;serif" w:hAnsi="Times New Roman;serif"/>
                <w:b w:val="false"/>
                <w:color w:val="000000"/>
                <w:sz w:val="22"/>
                <w:u w:val="single"/>
              </w:rPr>
              <w:t>Non-CIC Severance Period</w:t>
            </w:r>
            <w:r>
              <w:rPr>
                <w:color w:val="000000"/>
              </w:rPr>
              <w:t>”</w:t>
            </w:r>
            <w:r>
              <w:rPr>
                <w:rFonts w:ascii="Times New Roman;serif" w:hAnsi="Times New Roman;serif"/>
                <w:b w:val="false"/>
                <w:color w:val="000000"/>
                <w:sz w:val="22"/>
              </w:rPr>
              <w:t xml:space="preserve">). </w:t>
            </w:r>
          </w:p>
        </w:tc>
        <w:tc>
          <w:tcPr>
            <w:tcW w:w="27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Upon approval of the Company’s Compensation Committee, the following equity awards shall immediately become vested in the amounts below:</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2"/>
              </w:rPr>
              <w:t>Grant 3365: 112,996 shares</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2"/>
              </w:rPr>
              <w:t>Grant 8059: 1,458 shares</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2"/>
              </w:rPr>
              <w:t>Grant 8810: 95,620 shares</w:t>
            </w:r>
          </w:p>
        </w:tc>
        <w:tc>
          <w:tcPr>
            <w:tcW w:w="2766" w:type="dxa"/>
            <w:gridSpan w:val="3"/>
            <w:tcBorders>
              <w:top w:val="single" w:sz="8" w:space="0" w:color="000000"/>
              <w:left w:val="single" w:sz="8" w:space="0" w:color="000000"/>
              <w:bottom w:val="single" w:sz="8" w:space="0" w:color="000000"/>
              <w:right w:val="single" w:sz="8"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Reimbursement of Employee’s COBRA payment of $2,520.87 per month for the Non-CIC Severance Period, for a total of $7,562.61.</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175260"/>
                <wp:effectExtent l="0" t="0" r="0" b="0"/>
                <wp:wrapNone/>
                <wp:docPr id="427" name="Frame4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For the avoidance of doubt, the Employee acknowledges and agrees that the Severance Benefits described in this Section 2 are the exclusive benefits that the Employee is entitled to under the Plan. </w:t>
      </w:r>
    </w:p>
    <w:p>
      <w:pPr>
        <w:pStyle w:val="TextBody"/>
        <w:bidi w:val="0"/>
        <w:spacing w:lineRule="auto" w:line="288" w:before="240" w:after="240"/>
        <w:ind w:left="0" w:right="0" w:hanging="36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Consideration for Release</w:t>
      </w:r>
      <w:r>
        <w:rPr>
          <w:rFonts w:ascii="Times New Roman;serif" w:hAnsi="Times New Roman;serif"/>
          <w:b w:val="false"/>
          <w:color w:val="000000"/>
          <w:sz w:val="22"/>
        </w:rPr>
        <w:t xml:space="preserve">. The Employee understands and agrees that such payments and benefits are subject to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of the Employment Agreement and compliance with the terms of the Plan, which (as noted below) expressly survive my termination of employment and the execution of this General Release. Such payments and benefits will not be considered compensation for purposes of any employee benefit plan, program, policy or arrangement maintained or hereafter established by the Company or its affiliates.</w:t>
      </w:r>
    </w:p>
    <w:p>
      <w:pPr>
        <w:pStyle w:val="TextBody"/>
        <w:bidi w:val="0"/>
        <w:spacing w:lineRule="auto" w:line="288" w:before="240" w:after="240"/>
        <w:ind w:left="0" w:right="0" w:hanging="36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Release</w:t>
      </w:r>
      <w:r>
        <w:rPr>
          <w:rFonts w:ascii="Times New Roman;serif" w:hAnsi="Times New Roman;serif"/>
          <w:b w:val="false"/>
          <w:color w:val="000000"/>
          <w:sz w:val="22"/>
        </w:rPr>
        <w:t>.</w:t>
      </w:r>
    </w:p>
    <w:p>
      <w:pPr>
        <w:pStyle w:val="TextBody"/>
        <w:bidi w:val="0"/>
        <w:spacing w:lineRule="auto" w:line="288" w:before="240" w:after="240"/>
        <w:ind w:left="0" w:right="0" w:hanging="360"/>
        <w:jc w:val="both"/>
        <w:rPr/>
      </w:pPr>
      <w:r>
        <w:rPr>
          <w:rFonts w:ascii="Times New Roman;serif" w:hAnsi="Times New Roman;serif"/>
          <w:b w:val="false"/>
          <w:color w:val="000000"/>
          <w:sz w:val="22"/>
        </w:rPr>
        <w:t xml:space="preserve">a.Except as provided in </w:t>
      </w:r>
      <w:r>
        <w:rPr>
          <w:rFonts w:ascii="Times New Roman;serif" w:hAnsi="Times New Roman;serif"/>
          <w:b w:val="false"/>
          <w:color w:val="000000"/>
          <w:sz w:val="22"/>
          <w:u w:val="single"/>
        </w:rPr>
        <w:t xml:space="preserve">Section 4(b) </w:t>
      </w:r>
      <w:r>
        <w:rPr>
          <w:rFonts w:ascii="Times New Roman;serif" w:hAnsi="Times New Roman;serif"/>
          <w:b w:val="false"/>
          <w:color w:val="000000"/>
          <w:sz w:val="22"/>
        </w:rPr>
        <w:t>below, the Employee knowingly and voluntarily (for the Employee’s self, the Employee’s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that this General Release becomes effective and enforceable) and whether known or unknown, suspected, or claimed against the Company or any of the Released Parties which the Employee, the Employee’s spouse, or any of the Employee’s heirs, executors, administrators or assigns, may have, which arise out of or are connected with the Employee’s employment with, or the Employee’s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any applicable Executive Order Programs; the Fair Labor Standards Act; or their state or local counterparts; the New York State Human Rights Law; the New York State Labor Law; the New York State Worker Adjustment and Retraining Notification Act; the New York Workers’ Compensation Law; the New York State Civil Rights Law; the New York State Corrections Law; the New York City Earned Safe and Sick Time Act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w:t>
      </w:r>
      <w:r>
        <w:rPr>
          <w:rFonts w:ascii="Times New Roman;serif" w:hAnsi="Times New Roman;serif"/>
          <w:b w:val="false"/>
          <w:color w:val="000000"/>
          <w:sz w:val="22"/>
          <w:u w:val="single"/>
        </w:rPr>
        <w:t>Claims</w:t>
      </w:r>
      <w:r>
        <w:rPr>
          <w:color w:val="000000"/>
        </w:rPr>
        <w:t>”</w:t>
      </w:r>
      <w:r>
        <w:rPr>
          <w:rFonts w:ascii="Times New Roman;serif" w:hAnsi="Times New Roman;serif"/>
          <w:b w:val="false"/>
          <w:color w:val="000000"/>
          <w:sz w:val="22"/>
        </w:rPr>
        <w:t xml:space="preserve">). </w:t>
      </w:r>
    </w:p>
    <w:p>
      <w:pPr>
        <w:pStyle w:val="TextBody"/>
        <w:bidi w:val="0"/>
        <w:spacing w:lineRule="auto" w:line="288" w:before="24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b.Notwithstanding the foregoing, nothing contained in this general release shall in any way diminish or impair: (i) the Employee’s right to enforce this General Release; (ii) rights under this General Release; (iii) any Claims the Employee may have that cannot be waived under applicable law, such as Claims for unemployment benefits, </w:t>
      </w:r>
    </w:p>
    <w:p>
      <w:pPr>
        <w:pStyle w:val="TextBody"/>
        <w:bidi w:val="0"/>
        <w:spacing w:before="0" w:after="0"/>
        <w:jc w:val="both"/>
        <w:rPr/>
      </w:pPr>
      <w:r>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367665"/>
                <wp:effectExtent l="0" t="0" r="0" b="0"/>
                <wp:wrapNone/>
                <wp:docPr id="428" name="Frame42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workers compensation and disability benefits; (iv) the Employee’s right to challenge the validity of the waiver of age discrimination claims under the ADEA; (v) any rights to indemnification which Employee might have as a result of the Employee’s employment with the Company; (vi) any rights Employee may have to vested benefits under employee benefit plans; or (v) .</w:t>
      </w:r>
    </w:p>
    <w:p>
      <w:pPr>
        <w:pStyle w:val="TextBody"/>
        <w:bidi w:val="0"/>
        <w:spacing w:lineRule="auto" w:line="288" w:before="240" w:after="240"/>
        <w:ind w:left="0" w:right="0" w:hanging="360"/>
        <w:jc w:val="both"/>
        <w:rPr/>
      </w:pPr>
      <w:r>
        <w:rPr>
          <w:rFonts w:ascii="Times New Roman;serif" w:hAnsi="Times New Roman;serif"/>
          <w:b w:val="false"/>
          <w:color w:val="000000"/>
          <w:sz w:val="22"/>
        </w:rPr>
        <w:t>c.The Employee represents that he has never commenced or filed, or caused to be commenced or filed, any lawsuit or arbitration against any of the Released Parties. Except as otherwise provided in Section 4(b) of this Agreement, the Employee further agrees not to directly or indirectly commence, file, or in any way pursue, or cause or assist any person or entity to commence, file, or pursue, any lawsuit or arbitration against any of the Releasees in the future. The Employee represents that the Employee has made no assignment or transfer of any right, claim, demand, cause of action, or other matter covered by Section 4(a) above.</w:t>
      </w:r>
      <w:r>
        <w:rPr>
          <w:color w:val="000000"/>
        </w:rPr>
        <w:t xml:space="preserve"> </w:t>
      </w:r>
      <w:r>
        <w:rPr>
          <w:rFonts w:ascii="Times New Roman;serif" w:hAnsi="Times New Roman;serif"/>
          <w:b w:val="false"/>
          <w:color w:val="000000"/>
          <w:sz w:val="22"/>
        </w:rPr>
        <w:t>For avoidance of doubt, nothing in this Agreement, any other agreement between the Parties, or any Company policy shall prevent the Employee from filing a charge with the Securities and Exchange Commission (the “SEC”), the Equal Employment Opportunity Commission (the “EEOC”), the National Labor Relations Board (the “NLRB”), or any other government agency or participating in any SEC, EEOC, NLRB, or other agency investigation.</w:t>
      </w:r>
    </w:p>
    <w:p>
      <w:pPr>
        <w:pStyle w:val="TextBody"/>
        <w:bidi w:val="0"/>
        <w:spacing w:lineRule="auto" w:line="288" w:before="0" w:after="0"/>
        <w:ind w:left="0" w:right="0" w:hanging="360"/>
        <w:jc w:val="both"/>
        <w:rPr/>
      </w:pPr>
      <w:r>
        <w:rPr>
          <w:rFonts w:ascii="Times New Roman;serif" w:hAnsi="Times New Roman;serif"/>
          <w:b w:val="false"/>
          <w:color w:val="000000"/>
          <w:sz w:val="22"/>
        </w:rPr>
        <w:t>5.</w:t>
      </w:r>
      <w:r>
        <w:rPr>
          <w:rFonts w:ascii="Times New Roman;serif" w:hAnsi="Times New Roman;serif"/>
          <w:b w:val="false"/>
          <w:color w:val="1C1C21"/>
          <w:sz w:val="22"/>
          <w:u w:val="single"/>
        </w:rPr>
        <w:t>No Admission</w:t>
      </w:r>
      <w:r>
        <w:rPr>
          <w:rFonts w:ascii="Times New Roman;serif" w:hAnsi="Times New Roman;serif"/>
          <w:b w:val="false"/>
          <w:color w:val="343436"/>
          <w:sz w:val="22"/>
        </w:rPr>
        <w:t>.</w:t>
      </w:r>
      <w:r>
        <w:rPr>
          <w:color w:val="1C1C21"/>
        </w:rPr>
        <w:t xml:space="preserve"> </w:t>
      </w:r>
      <w:r>
        <w:rPr>
          <w:rFonts w:ascii="Times New Roman;serif" w:hAnsi="Times New Roman;serif"/>
          <w:b w:val="false"/>
          <w:color w:val="1C1C21"/>
          <w:sz w:val="22"/>
        </w:rPr>
        <w:t>Nothing herein shall be deemed to constitute an admission of wrongdoing by the Employee or the Released Parties</w:t>
      </w:r>
      <w:r>
        <w:rPr>
          <w:rFonts w:ascii="Times New Roman;serif" w:hAnsi="Times New Roman;serif"/>
          <w:b w:val="false"/>
          <w:color w:val="494949"/>
          <w:sz w:val="22"/>
        </w:rPr>
        <w:t xml:space="preserve">. </w:t>
      </w:r>
      <w:r>
        <w:rPr>
          <w:rFonts w:ascii="Times New Roman;serif" w:hAnsi="Times New Roman;serif"/>
          <w:b w:val="false"/>
          <w:color w:val="1C1C21"/>
          <w:sz w:val="22"/>
        </w:rPr>
        <w:t>Neither this General Release nor any of its terms may be used as an admission or introduced as evidence as to any issue of law or fact in any proceeding, suit or action, other than an action to enforce this General Release.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6.</w:t>
      </w:r>
      <w:r>
        <w:rPr>
          <w:rFonts w:ascii="Times New Roman;serif" w:hAnsi="Times New Roman;serif"/>
          <w:b w:val="false"/>
          <w:color w:val="1C1C21"/>
          <w:sz w:val="22"/>
          <w:u w:val="single"/>
        </w:rPr>
        <w:t>Knowing and Voluntary Agreement; Effectiveness</w:t>
      </w:r>
      <w:r>
        <w:rPr>
          <w:rFonts w:ascii="Times New Roman;serif" w:hAnsi="Times New Roman;serif"/>
          <w:b w:val="false"/>
          <w:color w:val="343436"/>
          <w:sz w:val="22"/>
        </w:rPr>
        <w:t xml:space="preserve">. </w:t>
      </w:r>
      <w:r>
        <w:rPr>
          <w:rFonts w:ascii="Times New Roman;serif" w:hAnsi="Times New Roman;serif"/>
          <w:b w:val="false"/>
          <w:color w:val="1C1C21"/>
          <w:sz w:val="22"/>
        </w:rPr>
        <w:t xml:space="preserve">The Company advises the Employee to consult with an attorney of the Employee’s choosing prior to executing this General Release. The Employee represents that the Employee has had the opportunity to review this Release and, specifically, the general release of claims set forth in </w:t>
      </w:r>
      <w:r>
        <w:rPr>
          <w:rFonts w:ascii="Times New Roman;serif" w:hAnsi="Times New Roman;serif"/>
          <w:b w:val="false"/>
          <w:color w:val="1C1C21"/>
          <w:sz w:val="22"/>
          <w:u w:val="single"/>
        </w:rPr>
        <w:t>Section 4</w:t>
      </w:r>
      <w:r>
        <w:rPr>
          <w:color w:val="1C1C21"/>
        </w:rPr>
        <w:t xml:space="preserve"> </w:t>
      </w:r>
      <w:r>
        <w:rPr>
          <w:rFonts w:ascii="Times New Roman;serif" w:hAnsi="Times New Roman;serif"/>
          <w:b w:val="false"/>
          <w:color w:val="1C1C21"/>
          <w:sz w:val="22"/>
        </w:rPr>
        <w:t>of this General Release, with an attorney of the Employee’s choice. The Employee also agrees and acknowledges that the Employee is receiving benefits and payments to which the Employee would not otherwise be entitled unless the Employee executes this General Release and does not timely revoke the Employee’s consent to this General Release, that the Employee has voluntarily consented to this General Release, and that Employee has entered into this General Release freely, knowingly and voluntarily</w:t>
      </w:r>
      <w:r>
        <w:rPr>
          <w:rFonts w:ascii="Times New Roman;serif" w:hAnsi="Times New Roman;serif"/>
          <w:b w:val="false"/>
          <w:color w:val="494949"/>
          <w:sz w:val="22"/>
        </w:rPr>
        <w: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7.</w:t>
      </w:r>
      <w:r>
        <w:rPr>
          <w:rFonts w:ascii="Times New Roman;serif" w:hAnsi="Times New Roman;serif"/>
          <w:b w:val="false"/>
          <w:color w:val="1C1C21"/>
          <w:sz w:val="22"/>
          <w:u w:val="single"/>
        </w:rPr>
        <w:t>Review</w:t>
      </w:r>
      <w:r>
        <w:rPr>
          <w:rFonts w:ascii="Times New Roman;serif" w:hAnsi="Times New Roman;serif"/>
          <w:b w:val="false"/>
          <w:color w:val="1C1C21"/>
          <w:sz w:val="22"/>
        </w:rPr>
        <w:t>.</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a.</w:t>
      </w:r>
      <w:r>
        <w:rPr>
          <w:rFonts w:ascii="Times New Roman;serif" w:hAnsi="Times New Roman;serif"/>
          <w:b w:val="false"/>
          <w:color w:val="1C1C21"/>
          <w:sz w:val="22"/>
        </w:rPr>
        <w:t xml:space="preserve">The Employee acknowledges and agrees that Employee has (i) carefully read and understand the terms and effects of this General Release, (ii) been advised by the Company to consult with an attorney prior to executing and re-executing this General Release, (iii) executed this General Release knowingly, voluntarily and of the Employee’s own free will in exchange for good and valuable consideration to which the Employee is not otherwise entitled, and (iv) the Employee has the full power, capacity and authority to enter into this General Release. </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val="false"/>
          <w:color w:val="000000"/>
          <w:sz w:val="22"/>
        </w:rPr>
        <w:t>b.</w:t>
      </w:r>
      <w:r>
        <w:rPr>
          <w:rFonts w:ascii="Times New Roman;serif" w:hAnsi="Times New Roman;serif"/>
          <w:b w:val="false"/>
          <w:color w:val="1C1C21"/>
          <w:sz w:val="22"/>
        </w:rPr>
        <w:t xml:space="preserve">The Employee acknowledges and agrees that the Employee received a copy of this Release on March 29, 2026 and Employee has seven (7) days following the Employee’s </w:t>
      </w:r>
    </w:p>
    <w:p>
      <w:pPr>
        <w:pStyle w:val="TextBody"/>
        <w:bidi w:val="0"/>
        <w:spacing w:before="0" w:after="0"/>
        <w:jc w:val="both"/>
        <w:rPr/>
      </w:pPr>
      <w:r>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367665"/>
                <wp:effectExtent l="0" t="0" r="0" b="0"/>
                <wp:wrapNone/>
                <wp:docPr id="429" name="Frame42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1C1C21"/>
          <w:sz w:val="22"/>
        </w:rPr>
        <w:t xml:space="preserve">receipt of this General Release to consider the terms of this General Release, and sign and return this General Release; </w:t>
      </w:r>
      <w:r>
        <w:rPr>
          <w:rFonts w:ascii="Times New Roman;serif" w:hAnsi="Times New Roman;serif"/>
          <w:b w:val="false"/>
          <w:color w:val="1C1C21"/>
          <w:sz w:val="22"/>
          <w:u w:val="single"/>
        </w:rPr>
        <w:t>provided</w:t>
      </w:r>
      <w:r>
        <w:rPr>
          <w:rFonts w:ascii="Times New Roman;serif" w:hAnsi="Times New Roman;serif"/>
          <w:b w:val="false"/>
          <w:color w:val="1C1C21"/>
          <w:sz w:val="22"/>
        </w:rPr>
        <w:t xml:space="preserve">, </w:t>
      </w:r>
      <w:r>
        <w:rPr>
          <w:rFonts w:ascii="Times New Roman;serif" w:hAnsi="Times New Roman;serif"/>
          <w:b w:val="false"/>
          <w:color w:val="1C1C21"/>
          <w:sz w:val="22"/>
          <w:u w:val="single"/>
        </w:rPr>
        <w:t>however</w:t>
      </w:r>
      <w:r>
        <w:rPr>
          <w:rFonts w:ascii="Times New Roman;serif" w:hAnsi="Times New Roman;serif"/>
          <w:b w:val="false"/>
          <w:color w:val="1C1C21"/>
          <w:sz w:val="22"/>
        </w:rPr>
        <w:t xml:space="preserve">, the Employee may sign and return this General Release before the expiration of the seven (7)-day consideration period. In the event that the Employee executes and returns this General Release before the expiration of the seven (7)-day consideration period, the Employee acknowledges that such decision was entirely voluntary and that the Employee had the opportunity to consider the General Release for the entire seven (7)-day consideration period.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Return of Property</w:t>
      </w:r>
      <w:r>
        <w:rPr>
          <w:rFonts w:ascii="Times New Roman;serif" w:hAnsi="Times New Roman;serif"/>
          <w:b w:val="false"/>
          <w:color w:val="000000"/>
          <w:sz w:val="22"/>
        </w:rPr>
        <w:t>. The Employee must immediately return to the Company all property of the Company in Employee’s possession, custody or control, including documents and materials, that contain non-public, confidential or proprietary information.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9.</w:t>
      </w:r>
      <w:r>
        <w:rPr>
          <w:rFonts w:ascii="Times New Roman;serif" w:hAnsi="Times New Roman;serif"/>
          <w:b w:val="false"/>
          <w:color w:val="1C1C21"/>
          <w:sz w:val="22"/>
          <w:u w:val="single"/>
        </w:rPr>
        <w:t>Titles and Headings</w:t>
      </w:r>
      <w:r>
        <w:rPr>
          <w:rFonts w:ascii="Times New Roman;serif" w:hAnsi="Times New Roman;serif"/>
          <w:b w:val="false"/>
          <w:color w:val="1C1C21"/>
          <w:sz w:val="22"/>
        </w:rPr>
        <w:t>. Titles and headings to sections, subsections and sub-subsections of this General Release are for the purposes of reference only and shall not affect the interpretation of this General Release.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General Release may be executed in counterparts, and each counterpart, when so executed and delivered, shall be deemed to be an original and both counterparts, taken together, shall constitute one and the same General Release. A faxed or pdf-ed signature shall operate the same as an original signature.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Assignment</w:t>
      </w:r>
      <w:r>
        <w:rPr>
          <w:rFonts w:ascii="Times New Roman;serif" w:hAnsi="Times New Roman;serif"/>
          <w:b w:val="false"/>
          <w:color w:val="000000"/>
          <w:sz w:val="22"/>
        </w:rPr>
        <w:t>. This General Release may not be assigned by the Employee. This General Release shall be assignable by the Company, in whole or in part, and will inure to the benefit of and be binding upon the Company and any successor organization which shall succeed to the Company by merger or consolidation or operation of law, or by acquisition of assets of the Company.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Modification; Severability</w:t>
      </w:r>
      <w:r>
        <w:rPr>
          <w:rFonts w:ascii="Times New Roman;serif" w:hAnsi="Times New Roman;serif"/>
          <w:b w:val="false"/>
          <w:color w:val="000000"/>
          <w:sz w:val="22"/>
        </w:rPr>
        <w:t>. In the event that a court of competent jurisdiction shall determine that any provision of this General Release or the application thereof is unenforceable in whole or in part because of the scope thereof, the parties hereto agree that said court in making such determination shall have the power to reduce the scope of such provision to the extent necessary to make it enforceable, and that the General Release in its reduced form shall be valid and enforceable to the full extent permitted by law. The provisions of this General Release are severable and the invalidity of any one or more provisions shall not affect the validity of any other provision.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General Release will be governed by and construed in accordance with the laws of New York, without regard to any conflict of law principles thereof that would give rise to the application of the laws of any other jurisdiction.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No Oral Modifications</w:t>
      </w:r>
      <w:r>
        <w:rPr>
          <w:rFonts w:ascii="Times New Roman;serif" w:hAnsi="Times New Roman;serif"/>
          <w:b w:val="false"/>
          <w:color w:val="000000"/>
          <w:sz w:val="22"/>
        </w:rPr>
        <w:t>. This General Release may not be changed or modified except by an agreement in writing, signed by the parties hereto.</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Continuing Obligations</w:t>
      </w:r>
      <w:r>
        <w:rPr>
          <w:rFonts w:ascii="Times New Roman;serif" w:hAnsi="Times New Roman;serif"/>
          <w:b w:val="false"/>
          <w:color w:val="000000"/>
          <w:sz w:val="22"/>
        </w:rPr>
        <w:t xml:space="preserve">. The Employee acknowledges that the Employee’s obligations to the Company that survive the termination of the Employment Agreement pursuant to Section 9(h) thereof, including without limitation Section 7 of the Employment Agreement remain in full force and effect remain in full force and effect and are </w:t>
      </w:r>
      <w:r>
        <w:rPr>
          <w:rFonts w:ascii="Times New Roman;serif" w:hAnsi="Times New Roman;serif"/>
          <w:b w:val="false"/>
          <w:color w:val="000000"/>
          <w:sz w:val="24"/>
        </w:rPr>
        <w:t>incorporated</w:t>
      </w:r>
      <w:r>
        <w:rPr>
          <w:color w:val="000000"/>
        </w:rPr>
        <w:t xml:space="preserve"> </w:t>
      </w:r>
      <w:r>
        <w:rPr>
          <w:rFonts w:ascii="Times New Roman;serif" w:hAnsi="Times New Roman;serif"/>
          <w:b w:val="false"/>
          <w:color w:val="000000"/>
          <w:sz w:val="22"/>
        </w:rPr>
        <w:t>by reference as if set forth herein.</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367665"/>
                <wp:effectExtent l="0" t="0" r="0" b="0"/>
                <wp:wrapNone/>
                <wp:docPr id="430" name="Frame42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xml:space="preserve">. This General Release constitutes the entire agreement between Employee and any of the Released Parties with respect to the subject matter hereof and supersedes all prior negotiations, representations, arrangements or agreements relating thereto. The Employee represents that in executing this Release, Employee has not relied on any representation or statement not set forth herein. No amendment or modification of this General Release shall be valid or binding on the parties unless in writing and signed by both parties.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120"/>
        <w:ind w:left="0" w:right="0" w:hanging="5"/>
        <w:jc w:val="both"/>
        <w:rPr>
          <w:rFonts w:ascii="Times New Roman;serif" w:hAnsi="Times New Roman;serif"/>
          <w:b w:val="false"/>
          <w:color w:val="1C1C21"/>
          <w:sz w:val="22"/>
        </w:rPr>
      </w:pPr>
      <w:r>
        <w:rPr>
          <w:rFonts w:ascii="Times New Roman;serif" w:hAnsi="Times New Roman;serif"/>
          <w:b w:val="false"/>
          <w:color w:val="1C1C21"/>
          <w:sz w:val="22"/>
        </w:rPr>
        <w:t>IN WITNESS WHEREOF, this General Release is executed by the Employee and the Company on the below written date(s).</w:t>
      </w:r>
    </w:p>
    <w:p>
      <w:pPr>
        <w:pStyle w:val="TextBody"/>
        <w:bidi w:val="0"/>
        <w:spacing w:before="0" w:after="120"/>
        <w:ind w:left="0" w:right="0" w:hanging="5"/>
        <w:jc w:val="both"/>
        <w:rPr/>
      </w:pPr>
      <w:r>
        <w:rPr/>
      </w:r>
    </w:p>
    <w:tbl>
      <w:tblPr>
        <w:tblW w:w="5413" w:type="dxa"/>
        <w:jc w:val="left"/>
        <w:tblInd w:w="0" w:type="dxa"/>
        <w:tblLayout w:type="fixed"/>
        <w:tblCellMar>
          <w:top w:w="28" w:type="dxa"/>
          <w:left w:w="28" w:type="dxa"/>
          <w:bottom w:w="28" w:type="dxa"/>
          <w:right w:w="28" w:type="dxa"/>
        </w:tblCellMar>
      </w:tblPr>
      <w:tblGrid>
        <w:gridCol w:w="864"/>
        <w:gridCol w:w="759"/>
        <w:gridCol w:w="761"/>
        <w:gridCol w:w="887"/>
        <w:gridCol w:w="887"/>
        <w:gridCol w:w="1255"/>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Marshall Beard</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color w:val="000000"/>
              </w:rPr>
              <w:t>    </w:t>
            </w:r>
            <w:r>
              <w:rPr>
                <w:rFonts w:ascii="Times New Roman;serif" w:hAnsi="Times New Roman;serif"/>
                <w:b w:val="false"/>
                <w:color w:val="000000"/>
                <w:sz w:val="22"/>
                <w:u w:val="single"/>
              </w:rPr>
              <w:t xml:space="preserve">/s/ Marshall Beard </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Marshall Beard</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 xml:space="preserve">Dated: </w:t>
            </w:r>
            <w:r>
              <w:rPr>
                <w:rFonts w:ascii="Times New Roman;serif" w:hAnsi="Times New Roman;serif"/>
                <w:b w:val="false"/>
                <w:color w:val="000000"/>
                <w:sz w:val="22"/>
                <w:u w:val="single"/>
              </w:rPr>
              <w:t xml:space="preserve">29 March 2026 </w:t>
            </w:r>
          </w:p>
        </w:tc>
        <w:tc>
          <w:tcPr>
            <w:tcW w:w="302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Gemini Space Station, Inc.</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color w:val="000000"/>
              </w:rPr>
              <w:t>    </w:t>
            </w:r>
            <w:r>
              <w:rPr>
                <w:rFonts w:ascii="Times New Roman;serif" w:hAnsi="Times New Roman;serif"/>
                <w:b w:val="false"/>
                <w:color w:val="000000"/>
                <w:sz w:val="22"/>
                <w:u w:val="single"/>
              </w:rPr>
              <w:t xml:space="preserve">/s/ Cameron Winklevoss </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Cameron Winklevoss</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President</w:t>
            </w:r>
          </w:p>
          <w:p>
            <w:pPr>
              <w:pStyle w:val="TableContents"/>
              <w:bidi w:val="0"/>
              <w:spacing w:lineRule="auto" w:line="288" w:before="0" w:after="0"/>
              <w:jc w:val="both"/>
              <w:rPr>
                <w:color w:val="000000"/>
              </w:rPr>
            </w:pPr>
            <w:r>
              <w:rPr>
                <w:color w:val="000000"/>
              </w:rPr>
              <w:t>    </w:t>
            </w:r>
          </w:p>
          <w:p>
            <w:pPr>
              <w:pStyle w:val="TableContents"/>
              <w:bidi w:val="0"/>
              <w:spacing w:lineRule="auto" w:line="288" w:before="0" w:after="0"/>
              <w:jc w:val="both"/>
              <w:rPr/>
            </w:pPr>
            <w:r>
              <w:rPr>
                <w:rFonts w:ascii="Times New Roman;serif" w:hAnsi="Times New Roman;serif"/>
                <w:b w:val="false"/>
                <w:color w:val="000000"/>
                <w:sz w:val="22"/>
              </w:rPr>
              <w:t xml:space="preserve">Dated: </w:t>
            </w:r>
            <w:r>
              <w:rPr>
                <w:rFonts w:ascii="Times New Roman;serif" w:hAnsi="Times New Roman;serif"/>
                <w:b w:val="false"/>
                <w:color w:val="000000"/>
                <w:sz w:val="22"/>
                <w:u w:val="single"/>
              </w:rPr>
              <w:t xml:space="preserve">29 March 2026 </w:t>
            </w:r>
          </w:p>
        </w:tc>
      </w:tr>
    </w:tbl>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t>604375159v.1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367665"/>
                <wp:effectExtent l="0" t="0" r="0" b="0"/>
                <wp:wrapNone/>
                <wp:docPr id="431" name="Frame43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center"/>
        <w:rPr>
          <w:rFonts w:ascii="Times New Roman;serif" w:hAnsi="Times New Roman;serif"/>
          <w:b/>
          <w:color w:val="000000"/>
          <w:sz w:val="22"/>
        </w:rPr>
      </w:pPr>
      <w:r>
        <w:rPr>
          <w:rFonts w:ascii="Times New Roman;serif" w:hAnsi="Times New Roman;serif"/>
          <w:b/>
          <w:color w:val="000000"/>
          <w:sz w:val="22"/>
        </w:rPr>
        <w:t>RELEASE AND SEPARATION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2"/>
        </w:rPr>
        <w:t>I, Tyler Meade (the “</w:t>
      </w:r>
      <w:r>
        <w:rPr>
          <w:rFonts w:ascii="Times New Roman;serif" w:hAnsi="Times New Roman;serif"/>
          <w:b w:val="false"/>
          <w:color w:val="000000"/>
          <w:sz w:val="22"/>
          <w:u w:val="single"/>
        </w:rPr>
        <w:t>Employee</w:t>
      </w:r>
      <w:r>
        <w:rPr>
          <w:color w:val="000000"/>
        </w:rPr>
        <w:t>”</w:t>
      </w:r>
      <w:r>
        <w:rPr>
          <w:rFonts w:ascii="Times New Roman;serif" w:hAnsi="Times New Roman;serif"/>
          <w:b w:val="false"/>
          <w:color w:val="000000"/>
          <w:sz w:val="22"/>
        </w:rPr>
        <w:t>), in consideration of and subject to the performance by Company (together with its subsidiaries,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of its obligations under Executive Employment Agreement by and between Tyler Meade and the Company, dated August 14, 2025 (the “</w:t>
      </w:r>
      <w:r>
        <w:rPr>
          <w:rFonts w:ascii="Times New Roman;serif" w:hAnsi="Times New Roman;serif"/>
          <w:b w:val="false"/>
          <w:color w:val="000000"/>
          <w:sz w:val="22"/>
          <w:u w:val="single"/>
        </w:rPr>
        <w:t>Employment Agreemen</w:t>
      </w:r>
      <w:r>
        <w:rPr>
          <w:rFonts w:ascii="Times New Roman;serif" w:hAnsi="Times New Roman;serif"/>
          <w:b w:val="false"/>
          <w:color w:val="000000"/>
          <w:sz w:val="22"/>
        </w:rPr>
        <w:t>t”) and the Gemini Space Station Senior Executive Severance Plan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as modified by this Release and Separation Agreement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do hereby release and forever discharge as of the date hereof the Company, the Employer and their respective Subsidiaries and all present, former and future managers, directors, officers, employees, successors and assigns of the Company and its affiliates and direct or indirect owners (collectively, the “</w:t>
      </w:r>
      <w:r>
        <w:rPr>
          <w:rFonts w:ascii="Times New Roman;serif" w:hAnsi="Times New Roman;serif"/>
          <w:b w:val="false"/>
          <w:color w:val="000000"/>
          <w:sz w:val="22"/>
          <w:u w:val="single"/>
        </w:rPr>
        <w:t>Released Parties</w:t>
      </w:r>
      <w:r>
        <w:rPr>
          <w:color w:val="000000"/>
        </w:rPr>
        <w:t>”</w:t>
      </w:r>
      <w:r>
        <w:rPr>
          <w:rFonts w:ascii="Times New Roman;serif" w:hAnsi="Times New Roman;serif"/>
          <w:b w:val="false"/>
          <w:color w:val="000000"/>
          <w:sz w:val="22"/>
        </w:rPr>
        <w:t>) to the extent provided below (this “</w:t>
      </w:r>
      <w:r>
        <w:rPr>
          <w:rFonts w:ascii="Times New Roman;serif" w:hAnsi="Times New Roman;serif"/>
          <w:b w:val="false"/>
          <w:color w:val="000000"/>
          <w:sz w:val="22"/>
          <w:u w:val="single"/>
        </w:rPr>
        <w:t>General Release</w:t>
      </w:r>
      <w:r>
        <w:rPr>
          <w:color w:val="000000"/>
        </w:rPr>
        <w:t>”</w:t>
      </w:r>
      <w:r>
        <w:rPr>
          <w:rFonts w:ascii="Times New Roman;serif" w:hAnsi="Times New Roman;serif"/>
          <w:b w:val="false"/>
          <w:color w:val="000000"/>
          <w:sz w:val="22"/>
        </w:rPr>
        <w:t>). The Released Parties are intended to be third-party beneficiaries of this General Release, and this General Release may be enforced by each of them in accordance with the terms hereof in respect of the rights granted to such Released Parties hereunder. Terms used herein but not otherwise defined shall have the meanings given to them in the Employment Agreement and Plan.</w:t>
      </w:r>
    </w:p>
    <w:p>
      <w:pPr>
        <w:pStyle w:val="TextBody"/>
        <w:bidi w:val="0"/>
        <w:spacing w:lineRule="auto" w:line="288" w:before="240" w:after="240"/>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Separation Date</w:t>
      </w:r>
      <w:r>
        <w:rPr>
          <w:rFonts w:ascii="Times New Roman;serif" w:hAnsi="Times New Roman;serif"/>
          <w:b w:val="false"/>
          <w:color w:val="000000"/>
          <w:sz w:val="22"/>
        </w:rPr>
        <w:t xml:space="preserve">. The Employee’s employment or service with the Company and the Employer terminated as of February 20, 2026, and the Employee hereby resigns from any position as an officer, member of the board of managers or directors (as applicable) or fiduciary of the Company or its affiliates (or reaffirm any such resignation that may have already occurred). The Employee understands that any payments or benefits paid or granted to the Employee under this Agreement or the Plan represent, in part, consideration for signing this General Release and are not salary, wages or benefits to which the Employee was already entitled. The Employee understands and agrees that the Employee will not receive certain of the payments and benefits specified under this Agreement or the Plan unless the Employee executes this General Release and does not revoke this General Release within the time period permitted hereafter. </w:t>
      </w:r>
    </w:p>
    <w:p>
      <w:pPr>
        <w:pStyle w:val="TextBody"/>
        <w:bidi w:val="0"/>
        <w:spacing w:lineRule="auto" w:line="288" w:before="240" w:after="240"/>
        <w:ind w:left="0" w:right="0" w:hanging="36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Severance Benefits</w:t>
      </w:r>
      <w:r>
        <w:rPr>
          <w:rFonts w:ascii="Times New Roman;serif" w:hAnsi="Times New Roman;serif"/>
          <w:b w:val="false"/>
          <w:color w:val="000000"/>
          <w:sz w:val="22"/>
        </w:rPr>
        <w:t xml:space="preserve">. </w:t>
      </w:r>
    </w:p>
    <w:p>
      <w:pPr>
        <w:pStyle w:val="TextBody"/>
        <w:bidi w:val="0"/>
        <w:spacing w:lineRule="auto" w:line="288" w:before="24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a.The Employee and the Company agree that the first row of the Severance Benefits Table in Exhibit A of the Plan is hereby amended as follows:</w:t>
      </w:r>
    </w:p>
    <w:p>
      <w:pPr>
        <w:pStyle w:val="TextBody"/>
        <w:bidi w:val="0"/>
        <w:spacing w:before="0" w:after="0"/>
        <w:jc w:val="both"/>
        <w:rPr/>
      </w:pPr>
      <w:r>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175260"/>
                <wp:effectExtent l="0" t="0" r="0" b="0"/>
                <wp:wrapNone/>
                <wp:docPr id="432" name="Frame4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71"/>
        <w:gridCol w:w="413"/>
        <w:gridCol w:w="415"/>
        <w:gridCol w:w="1235"/>
        <w:gridCol w:w="1088"/>
        <w:gridCol w:w="1091"/>
        <w:gridCol w:w="972"/>
        <w:gridCol w:w="877"/>
        <w:gridCol w:w="879"/>
        <w:gridCol w:w="930"/>
        <w:gridCol w:w="755"/>
        <w:gridCol w:w="1079"/>
      </w:tblGrid>
      <w:tr>
        <w:trPr/>
        <w:tc>
          <w:tcPr>
            <w:tcW w:w="4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1299" w:type="dxa"/>
            <w:gridSpan w:val="3"/>
            <w:tcBorders>
              <w:top w:val="single" w:sz="8" w:space="0" w:color="000000"/>
              <w:left w:val="single" w:sz="8" w:space="0" w:color="000000"/>
            </w:tcBorders>
            <w:shd w:fill="C0C0C0" w:val="clear"/>
            <w:tcMar>
              <w:top w:w="30" w:type="dxa"/>
              <w:left w:w="44"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Type of Severance</w:t>
            </w:r>
          </w:p>
        </w:tc>
        <w:tc>
          <w:tcPr>
            <w:tcW w:w="3414" w:type="dxa"/>
            <w:gridSpan w:val="3"/>
            <w:tcBorders>
              <w:top w:val="single" w:sz="8" w:space="0" w:color="000000"/>
              <w:left w:val="single" w:sz="8" w:space="0" w:color="000000"/>
            </w:tcBorders>
            <w:shd w:fill="C0C0C0"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Cash Severance</w:t>
            </w:r>
          </w:p>
        </w:tc>
        <w:tc>
          <w:tcPr>
            <w:tcW w:w="2728" w:type="dxa"/>
            <w:gridSpan w:val="3"/>
            <w:tcBorders>
              <w:top w:val="single" w:sz="8" w:space="0" w:color="000000"/>
              <w:left w:val="single" w:sz="8" w:space="0" w:color="000000"/>
            </w:tcBorders>
            <w:shd w:fill="C0C0C0" w:val="clear"/>
            <w:tcMar>
              <w:top w:w="30" w:type="dxa"/>
              <w:left w:w="44"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Equity Vesting Acceleration*</w:t>
            </w:r>
          </w:p>
        </w:tc>
        <w:tc>
          <w:tcPr>
            <w:tcW w:w="2764" w:type="dxa"/>
            <w:gridSpan w:val="3"/>
            <w:tcBorders>
              <w:top w:val="single" w:sz="8" w:space="0" w:color="000000"/>
              <w:left w:val="single" w:sz="8" w:space="0" w:color="000000"/>
              <w:right w:val="single" w:sz="8" w:space="0" w:color="000000"/>
            </w:tcBorders>
            <w:shd w:fill="C0C0C0" w:val="clear"/>
            <w:tcMar>
              <w:top w:w="30" w:type="dxa"/>
              <w:left w:w="44" w:type="dxa"/>
              <w:bottom w:w="0" w:type="dxa"/>
              <w:right w:w="44"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Healthcare Continuation Benefit</w:t>
            </w:r>
          </w:p>
        </w:tc>
      </w:tr>
      <w:tr>
        <w:trPr/>
        <w:tc>
          <w:tcPr>
            <w:tcW w:w="1299" w:type="dxa"/>
            <w:gridSpan w:val="3"/>
            <w:tcBorders>
              <w:top w:val="single" w:sz="8" w:space="0" w:color="000000"/>
              <w:left w:val="single" w:sz="8" w:space="0" w:color="000000"/>
              <w:bottom w:val="single" w:sz="8" w:space="0" w:color="000000"/>
            </w:tcBorders>
            <w:tcMar>
              <w:top w:w="30" w:type="dxa"/>
              <w:left w:w="44"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Non-CIC Severance Benefits</w:t>
            </w:r>
          </w:p>
        </w:tc>
        <w:tc>
          <w:tcPr>
            <w:tcW w:w="34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An amount equal to $296,640 payable in substantially equal monthly installments over a period of three (3) months from the date hereof in accordance with the Company’s normal payroll practices (the “</w:t>
            </w:r>
            <w:r>
              <w:rPr>
                <w:rFonts w:ascii="Times New Roman;serif" w:hAnsi="Times New Roman;serif"/>
                <w:b w:val="false"/>
                <w:color w:val="000000"/>
                <w:sz w:val="22"/>
                <w:u w:val="single"/>
              </w:rPr>
              <w:t>Non-CIC Severance Period</w:t>
            </w:r>
            <w:r>
              <w:rPr>
                <w:color w:val="000000"/>
              </w:rPr>
              <w:t>”</w:t>
            </w:r>
            <w:r>
              <w:rPr>
                <w:rFonts w:ascii="Times New Roman;serif" w:hAnsi="Times New Roman;serif"/>
                <w:b w:val="false"/>
                <w:color w:val="000000"/>
                <w:sz w:val="22"/>
              </w:rPr>
              <w:t xml:space="preserve">). </w:t>
            </w:r>
          </w:p>
        </w:tc>
        <w:tc>
          <w:tcPr>
            <w:tcW w:w="272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Upon approval of the Company’s Compensation Committee, the following equity awards shall immediately become vested in the amounts below:</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2"/>
              </w:rPr>
              <w:t>Grant 3366: 79,628 shares</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2"/>
              </w:rPr>
              <w:t>Grant 8714: 4,769 shares</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2"/>
              </w:rPr>
              <w:t>Grant 8811: 71,860 shares</w:t>
            </w:r>
          </w:p>
        </w:tc>
        <w:tc>
          <w:tcPr>
            <w:tcW w:w="2764" w:type="dxa"/>
            <w:gridSpan w:val="3"/>
            <w:tcBorders>
              <w:top w:val="single" w:sz="8" w:space="0" w:color="000000"/>
              <w:left w:val="single" w:sz="8" w:space="0" w:color="000000"/>
              <w:bottom w:val="single" w:sz="8" w:space="0" w:color="000000"/>
              <w:right w:val="single" w:sz="8" w:space="0" w:color="000000"/>
            </w:tcBorders>
            <w:tcMar>
              <w:top w:w="30" w:type="dxa"/>
              <w:left w:w="67"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Reimbursement of Employee’s COBRA payment of $1,570.82 per month for the Non-CIC Severance Period, for a total of $4,712.46</w:t>
            </w:r>
          </w:p>
        </w:tc>
      </w:tr>
    </w:tbl>
    <w:p>
      <w:pPr>
        <w:pStyle w:val="TextBody"/>
        <w:bidi w:val="0"/>
        <w:spacing w:lineRule="auto" w:line="288" w:before="24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b.For the avoidance of doubt, the Employee acknowledges and agrees that the Severance Benefits described in this Section 2 are the exclusive benefits that the Employee is entitled to under the Plan. </w:t>
      </w:r>
    </w:p>
    <w:p>
      <w:pPr>
        <w:pStyle w:val="TextBody"/>
        <w:bidi w:val="0"/>
        <w:spacing w:lineRule="auto" w:line="288" w:before="240" w:after="240"/>
        <w:ind w:left="0" w:right="0" w:hanging="36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Consideration for Release</w:t>
      </w:r>
      <w:r>
        <w:rPr>
          <w:rFonts w:ascii="Times New Roman;serif" w:hAnsi="Times New Roman;serif"/>
          <w:b w:val="false"/>
          <w:color w:val="000000"/>
          <w:sz w:val="22"/>
        </w:rPr>
        <w:t xml:space="preserve">. The Employee understands and agrees that such payments and benefits are subject to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of the Employment Agreement and compliance with the terms of the Plan, which (as noted below) expressly survives my termination of employment and the execution of this General Release. Such payments and benefits will not be considered compensation for purposes of any employee benefit plan, program, policy or arrangement maintained or hereafter established by the Company or its affiliates.</w:t>
      </w:r>
    </w:p>
    <w:p>
      <w:pPr>
        <w:pStyle w:val="TextBody"/>
        <w:bidi w:val="0"/>
        <w:spacing w:lineRule="auto" w:line="288" w:before="240" w:after="240"/>
        <w:ind w:left="0" w:right="0" w:hanging="36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Release</w:t>
      </w:r>
      <w:r>
        <w:rPr>
          <w:rFonts w:ascii="Times New Roman;serif" w:hAnsi="Times New Roman;serif"/>
          <w:b w:val="false"/>
          <w:color w:val="000000"/>
          <w:sz w:val="22"/>
        </w:rPr>
        <w:t>.</w:t>
      </w:r>
    </w:p>
    <w:p>
      <w:pPr>
        <w:pStyle w:val="TextBody"/>
        <w:bidi w:val="0"/>
        <w:spacing w:lineRule="auto" w:line="288" w:before="240" w:after="240"/>
        <w:ind w:left="0" w:right="0" w:hanging="360"/>
        <w:jc w:val="both"/>
        <w:rPr/>
      </w:pPr>
      <w:r>
        <w:rPr>
          <w:rFonts w:ascii="Times New Roman;serif" w:hAnsi="Times New Roman;serif"/>
          <w:b w:val="false"/>
          <w:color w:val="000000"/>
          <w:sz w:val="22"/>
        </w:rPr>
        <w:t xml:space="preserve">a.Except as provided in </w:t>
      </w:r>
      <w:r>
        <w:rPr>
          <w:rFonts w:ascii="Times New Roman;serif" w:hAnsi="Times New Roman;serif"/>
          <w:b w:val="false"/>
          <w:color w:val="000000"/>
          <w:sz w:val="22"/>
          <w:u w:val="single"/>
        </w:rPr>
        <w:t>Section 4(b)</w:t>
      </w:r>
      <w:r>
        <w:rPr>
          <w:color w:val="000000"/>
        </w:rPr>
        <w:t xml:space="preserve"> </w:t>
      </w:r>
      <w:r>
        <w:rPr>
          <w:rFonts w:ascii="Times New Roman;serif" w:hAnsi="Times New Roman;serif"/>
          <w:b w:val="false"/>
          <w:color w:val="000000"/>
          <w:sz w:val="22"/>
        </w:rPr>
        <w:t xml:space="preserve">below, the Employee knowingly and voluntarily (for the Employee’s self, the Employee’s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that this General Release becomes effective and enforceable) and whether known or unknown, suspected, or claimed against the Company or any of the Released Parties which the Employee, the Employee’s spouse, or any of the Employee’s heirs, executors, administrators or assigns, may have, which arise out of or are connected with the Employee’s employment with, or the Employee’s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Employee’s waiver of Claims under the ADEA and OWBPA, </w:t>
      </w:r>
    </w:p>
    <w:p>
      <w:pPr>
        <w:pStyle w:val="TextBody"/>
        <w:bidi w:val="0"/>
        <w:spacing w:before="0" w:after="0"/>
        <w:jc w:val="both"/>
        <w:rPr/>
      </w:pPr>
      <w:r>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367665"/>
                <wp:effectExtent l="0" t="0" r="0" b="0"/>
                <wp:wrapNone/>
                <wp:docPr id="433" name="Frame43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2"/>
        </w:rPr>
        <w:t>collectively “</w:t>
      </w:r>
      <w:r>
        <w:rPr>
          <w:rFonts w:ascii="Times New Roman;serif" w:hAnsi="Times New Roman;serif"/>
          <w:b w:val="false"/>
          <w:color w:val="000000"/>
          <w:sz w:val="22"/>
          <w:u w:val="single"/>
        </w:rPr>
        <w:t>ADEA Waiver</w:t>
      </w:r>
      <w:r>
        <w:rPr>
          <w:color w:val="000000"/>
        </w:rPr>
        <w:t>”</w:t>
      </w:r>
      <w:r>
        <w:rPr>
          <w:rFonts w:ascii="Times New Roman;serif" w:hAnsi="Times New Roman;serif"/>
          <w:b w:val="false"/>
          <w:color w:val="000000"/>
          <w:sz w:val="22"/>
        </w:rPr>
        <w:t>); the Equal Pay Act of 1963, as amended; the Americans with Disabilities Act of 1990; the Family and Medical Leave Act of 1993; the Worker Adjustment Retraining and Notification Act; the Employee Retirement Income Security Act of 1974; any applicable Executive Order Programs; the Fair Labor Standards Act; or their state or local counterparts; the New York State Human Rights Law; the New York State Labor Law; the New York State Worker Adjustment and Retraining Notification Act; the New York Workers’ Compensation Law; the New York State Civil Rights Law; the New York State Corrections Law; the New York City Earned Safe and Sick Time Act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w:t>
      </w:r>
      <w:r>
        <w:rPr>
          <w:rFonts w:ascii="Times New Roman;serif" w:hAnsi="Times New Roman;serif"/>
          <w:b w:val="false"/>
          <w:color w:val="000000"/>
          <w:sz w:val="22"/>
          <w:u w:val="single"/>
        </w:rPr>
        <w:t>Claims</w:t>
      </w:r>
      <w:r>
        <w:rPr>
          <w:color w:val="000000"/>
        </w:rPr>
        <w:t>”</w:t>
      </w:r>
      <w:r>
        <w:rPr>
          <w:rFonts w:ascii="Times New Roman;serif" w:hAnsi="Times New Roman;serif"/>
          <w:b w:val="false"/>
          <w:color w:val="000000"/>
          <w:sz w:val="22"/>
        </w:rPr>
        <w:t xml:space="preserve">). </w:t>
      </w:r>
    </w:p>
    <w:p>
      <w:pPr>
        <w:pStyle w:val="TextBody"/>
        <w:bidi w:val="0"/>
        <w:spacing w:lineRule="auto" w:line="288" w:before="24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b.Notwithstanding the foregoing, nothing contained in this general release shall in any way diminish or impair: (i) the Employee’s right to enforce this General Release; (ii) rights under this General Release; (iii) any Claims the Employee may have that cannot be waived under applicable law, such as Claims for unemployment benefits, workers compensation and disability benefits; (iv) the Employee’s right to challenge the validity of the waiver of age discrimination claims under the ADEA; (v) any rights to indemnification which Employee might have as a result of the Employee’s employment with the Company; (vi) any rights Employee may have to vested benefits under employee benefit plans; or (v) .</w:t>
      </w:r>
    </w:p>
    <w:p>
      <w:pPr>
        <w:pStyle w:val="TextBody"/>
        <w:bidi w:val="0"/>
        <w:spacing w:lineRule="auto" w:line="288" w:before="240" w:after="240"/>
        <w:ind w:left="0" w:right="0" w:hanging="360"/>
        <w:jc w:val="both"/>
        <w:rPr/>
      </w:pPr>
      <w:r>
        <w:rPr>
          <w:rFonts w:ascii="Times New Roman;serif" w:hAnsi="Times New Roman;serif"/>
          <w:b w:val="false"/>
          <w:color w:val="000000"/>
          <w:sz w:val="22"/>
        </w:rPr>
        <w:t>c.The Employee represents that he has never commenced or filed, or caused to be commenced or filed, any lawsuit or arbitration against any of the Released Parties. Except as otherwise provided in Section 4(b) of this Agreement, the Employee further agrees not to directly or indirectly commence, file, or in any way pursue, or cause or assist any person or entity to commence, file, or pursue, any lawsuit or arbitration against any of the Releasees in the future. The Employee represents that the Employee has made no assignment or transfer of any right, claim, demand, cause of action, or other matter covered by Section 4(a) above.</w:t>
      </w:r>
      <w:r>
        <w:rPr>
          <w:color w:val="000000"/>
        </w:rPr>
        <w:t xml:space="preserve"> </w:t>
      </w:r>
      <w:r>
        <w:rPr>
          <w:rFonts w:ascii="Times New Roman;serif" w:hAnsi="Times New Roman;serif"/>
          <w:b w:val="false"/>
          <w:color w:val="000000"/>
          <w:sz w:val="22"/>
        </w:rPr>
        <w:t>For avoidance of doubt, nothing in this Agreement, any other agreement between the Parties, or any Company policy shall prevent the Employee from filing a charge with the Securities and Exchange Commission (the “SEC”), the Equal Employment Opportunity Commission (the “EEOC”), the National Labor Relations Board (the “NLRB”), or any other government agency or participating in any SEC, EEOC, NLRB, or other agency investigation.</w:t>
      </w:r>
    </w:p>
    <w:p>
      <w:pPr>
        <w:pStyle w:val="TextBody"/>
        <w:bidi w:val="0"/>
        <w:spacing w:lineRule="auto" w:line="288" w:before="0" w:after="0"/>
        <w:ind w:left="0" w:right="0" w:hanging="360"/>
        <w:jc w:val="both"/>
        <w:rPr/>
      </w:pPr>
      <w:r>
        <w:rPr>
          <w:rFonts w:ascii="Times New Roman;serif" w:hAnsi="Times New Roman;serif"/>
          <w:b w:val="false"/>
          <w:color w:val="000000"/>
          <w:sz w:val="22"/>
        </w:rPr>
        <w:t>5.</w:t>
      </w:r>
      <w:r>
        <w:rPr>
          <w:rFonts w:ascii="Times New Roman;serif" w:hAnsi="Times New Roman;serif"/>
          <w:b w:val="false"/>
          <w:color w:val="1C1C21"/>
          <w:sz w:val="22"/>
          <w:u w:val="single"/>
        </w:rPr>
        <w:t>No Admission</w:t>
      </w:r>
      <w:r>
        <w:rPr>
          <w:rFonts w:ascii="Times New Roman;serif" w:hAnsi="Times New Roman;serif"/>
          <w:b w:val="false"/>
          <w:color w:val="343436"/>
          <w:sz w:val="22"/>
        </w:rPr>
        <w:t>.</w:t>
      </w:r>
      <w:r>
        <w:rPr>
          <w:color w:val="1C1C21"/>
        </w:rPr>
        <w:t xml:space="preserve"> </w:t>
      </w:r>
      <w:r>
        <w:rPr>
          <w:rFonts w:ascii="Times New Roman;serif" w:hAnsi="Times New Roman;serif"/>
          <w:b w:val="false"/>
          <w:color w:val="1C1C21"/>
          <w:sz w:val="22"/>
        </w:rPr>
        <w:t>Nothing herein shall be deemed to constitute an admission of wrongdoing by the Employee or the Released Parties</w:t>
      </w:r>
      <w:r>
        <w:rPr>
          <w:rFonts w:ascii="Times New Roman;serif" w:hAnsi="Times New Roman;serif"/>
          <w:b w:val="false"/>
          <w:color w:val="494949"/>
          <w:sz w:val="22"/>
        </w:rPr>
        <w:t xml:space="preserve">. </w:t>
      </w:r>
      <w:r>
        <w:rPr>
          <w:rFonts w:ascii="Times New Roman;serif" w:hAnsi="Times New Roman;serif"/>
          <w:b w:val="false"/>
          <w:color w:val="1C1C21"/>
          <w:sz w:val="22"/>
        </w:rPr>
        <w:t>Neither this General Release nor any of its terms may be used as an admission or introduced as evidence as to any issue of law or fact in any proceeding, suit or action, other than an action to enforce this General Release.</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val="false"/>
          <w:color w:val="000000"/>
          <w:sz w:val="22"/>
        </w:rPr>
        <w:t>6.</w:t>
      </w:r>
      <w:r>
        <w:rPr>
          <w:rFonts w:ascii="Times New Roman;serif" w:hAnsi="Times New Roman;serif"/>
          <w:b w:val="false"/>
          <w:color w:val="1C1C21"/>
          <w:sz w:val="22"/>
          <w:u w:val="single"/>
        </w:rPr>
        <w:t>Knowing and Voluntary Agreement; Effectiveness</w:t>
      </w:r>
      <w:r>
        <w:rPr>
          <w:rFonts w:ascii="Times New Roman;serif" w:hAnsi="Times New Roman;serif"/>
          <w:b w:val="false"/>
          <w:color w:val="343436"/>
          <w:sz w:val="22"/>
        </w:rPr>
        <w:t xml:space="preserve">. </w:t>
      </w:r>
      <w:r>
        <w:rPr>
          <w:rFonts w:ascii="Times New Roman;serif" w:hAnsi="Times New Roman;serif"/>
          <w:b w:val="false"/>
          <w:color w:val="1C1C21"/>
          <w:sz w:val="22"/>
        </w:rPr>
        <w:t xml:space="preserve">The Company advises the Employee to consult with an attorney of the Employee’s choosing prior to executing this General Release. </w:t>
      </w:r>
    </w:p>
    <w:p>
      <w:pPr>
        <w:pStyle w:val="TextBody"/>
        <w:bidi w:val="0"/>
        <w:spacing w:before="0" w:after="0"/>
        <w:jc w:val="both"/>
        <w:rPr/>
      </w:pPr>
      <w:r>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367665"/>
                <wp:effectExtent l="0" t="0" r="0" b="0"/>
                <wp:wrapNone/>
                <wp:docPr id="434" name="Frame43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1C1C21"/>
          <w:sz w:val="22"/>
        </w:rPr>
        <w:t xml:space="preserve">The Employee represents that the Employee has had the opportunity to review this Release and, specifically, the general release of claims set forth in </w:t>
      </w:r>
      <w:r>
        <w:rPr>
          <w:rFonts w:ascii="Times New Roman;serif" w:hAnsi="Times New Roman;serif"/>
          <w:b w:val="false"/>
          <w:color w:val="1C1C21"/>
          <w:sz w:val="22"/>
          <w:u w:val="single"/>
        </w:rPr>
        <w:t>Section 4</w:t>
      </w:r>
      <w:r>
        <w:rPr>
          <w:color w:val="1C1C21"/>
        </w:rPr>
        <w:t xml:space="preserve"> </w:t>
      </w:r>
      <w:r>
        <w:rPr>
          <w:rFonts w:ascii="Times New Roman;serif" w:hAnsi="Times New Roman;serif"/>
          <w:b w:val="false"/>
          <w:color w:val="1C1C21"/>
          <w:sz w:val="22"/>
        </w:rPr>
        <w:t>of this General Release, with an attorney of the Employee’s choice. The Employee also agrees and acknowledges that the Employee is receiving benefits and payments to which the Employee would not otherwise be entitled unless the Employee executes this General Release and does not timely revoke the Employee’s consent to this General Release, that the Employee has voluntarily consented to this General Release, and that Employee has entered into this General Release freely, knowingly and voluntarily</w:t>
      </w:r>
      <w:r>
        <w:rPr>
          <w:rFonts w:ascii="Times New Roman;serif" w:hAnsi="Times New Roman;serif"/>
          <w:b w:val="false"/>
          <w:color w:val="494949"/>
          <w:sz w:val="22"/>
        </w:rPr>
        <w: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7.</w:t>
      </w:r>
      <w:r>
        <w:rPr>
          <w:rFonts w:ascii="Times New Roman;serif" w:hAnsi="Times New Roman;serif"/>
          <w:b w:val="false"/>
          <w:color w:val="1C1C21"/>
          <w:sz w:val="22"/>
          <w:u w:val="single"/>
        </w:rPr>
        <w:t>Review and Revocation Rights</w:t>
      </w:r>
      <w:r>
        <w:rPr>
          <w:rFonts w:ascii="Times New Roman;serif" w:hAnsi="Times New Roman;serif"/>
          <w:b w:val="false"/>
          <w:color w:val="1C1C21"/>
          <w:sz w:val="22"/>
        </w:rPr>
        <w:t>.</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a.</w:t>
      </w:r>
      <w:r>
        <w:rPr>
          <w:rFonts w:ascii="Times New Roman;serif" w:hAnsi="Times New Roman;serif"/>
          <w:b w:val="false"/>
          <w:color w:val="1C1C21"/>
          <w:sz w:val="22"/>
        </w:rPr>
        <w:t xml:space="preserve">The Employee acknowledges and agrees that Employee has (i) carefully read and understand the terms and effects of this General Release, (ii) been advised by the Company to consult with an attorney prior to executing and re-executing this General Release, (iii) executed this General Release knowingly, voluntarily and of the Employee’s own free will in exchange for good and valuable consideration to which the Employee is not otherwise entitled, and (iv) the Employee has the full power, capacity and authority to enter into this General Release.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b.</w:t>
      </w:r>
      <w:r>
        <w:rPr>
          <w:rFonts w:ascii="Times New Roman;serif" w:hAnsi="Times New Roman;serif"/>
          <w:b w:val="false"/>
          <w:color w:val="1C1C21"/>
          <w:sz w:val="22"/>
        </w:rPr>
        <w:t xml:space="preserve">The Employee acknowledges and agrees that the Employee received a copy of this Release on March 29, 2026, and Employee has twenty-one (21) days following the Employee’s receipt of this General Release to consider the terms of this General Release, and sign and return this General Release; </w:t>
      </w:r>
      <w:r>
        <w:rPr>
          <w:rFonts w:ascii="Times New Roman;serif" w:hAnsi="Times New Roman;serif"/>
          <w:b w:val="false"/>
          <w:color w:val="1C1C21"/>
          <w:sz w:val="22"/>
          <w:u w:val="single"/>
        </w:rPr>
        <w:t>provided</w:t>
      </w:r>
      <w:r>
        <w:rPr>
          <w:rFonts w:ascii="Times New Roman;serif" w:hAnsi="Times New Roman;serif"/>
          <w:b w:val="false"/>
          <w:color w:val="1C1C21"/>
          <w:sz w:val="22"/>
        </w:rPr>
        <w:t xml:space="preserve">, </w:t>
      </w:r>
      <w:r>
        <w:rPr>
          <w:rFonts w:ascii="Times New Roman;serif" w:hAnsi="Times New Roman;serif"/>
          <w:b w:val="false"/>
          <w:color w:val="1C1C21"/>
          <w:sz w:val="22"/>
          <w:u w:val="single"/>
        </w:rPr>
        <w:t>however</w:t>
      </w:r>
      <w:r>
        <w:rPr>
          <w:rFonts w:ascii="Times New Roman;serif" w:hAnsi="Times New Roman;serif"/>
          <w:b w:val="false"/>
          <w:color w:val="1C1C21"/>
          <w:sz w:val="22"/>
        </w:rPr>
        <w:t xml:space="preserve">, the Employee may sign and return this General Release before the expiration of the twenty-one (21)-day consideration period. In the event that the Employee executes and returns this General Release before the expiration of the twenty-one (21)-day consideration period, the Employee acknowledges that such decision was entirely voluntary and that the Employee had the opportunity to consider the General Release for the entire twenty-one (21)-day consideration period. Once the Employee signs this General Release, the Employee will have seven (7) days following the date on which the Employee signed this General Release to revoke the Employee’s consent to the ADEA Waiver.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c.This General Release will become effective on the date the Employee executes this Agreement (the “</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 xml:space="preserve">), provided that the Employee has not revoked the Employee’s consent to this ADEA Waiver within the seven (7) day revocation period. If the Employee revokes his ADEA Waiver, then the Employee’s release of Claims arising under the ADEA and OWBPA will be null and void and of no force or effect and the Employee shall not be entitled to receive the remaining Severance Benefits pursuant to </w:t>
      </w:r>
      <w:r>
        <w:rPr>
          <w:rFonts w:ascii="Times New Roman;serif" w:hAnsi="Times New Roman;serif"/>
          <w:b w:val="false"/>
          <w:color w:val="000000"/>
          <w:sz w:val="22"/>
          <w:u w:val="single"/>
        </w:rPr>
        <w:t>Section 2(a)</w:t>
      </w:r>
      <w:r>
        <w:rPr>
          <w:rFonts w:ascii="Times New Roman;serif" w:hAnsi="Times New Roman;serif"/>
          <w:b w:val="false"/>
          <w:color w:val="000000"/>
          <w:sz w:val="22"/>
        </w:rPr>
        <w:t xml:space="preserve">; provided that this Agreement and the Employee’s waiver of all other Claims as set forth in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 xml:space="preserve">shall remain in full force and effect.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d.</w:t>
      </w:r>
      <w:r>
        <w:rPr>
          <w:rFonts w:ascii="Times New Roman;serif" w:hAnsi="Times New Roman;serif"/>
          <w:b w:val="false"/>
          <w:color w:val="1C1C21"/>
          <w:sz w:val="22"/>
          <w:u w:val="single"/>
        </w:rPr>
        <w:t>ADEA Notice</w:t>
      </w:r>
      <w:r>
        <w:rPr>
          <w:rFonts w:ascii="Times New Roman;serif" w:hAnsi="Times New Roman;serif"/>
          <w:b w:val="false"/>
          <w:color w:val="1C1C21"/>
          <w:sz w:val="22"/>
        </w:rPr>
        <w:t xml:space="preserve">. The Employee acknowledges and agrees that this General Release includes a waiver of claims under the ADEA and OWBPA. The Employee specifically acknowledges that the Employee understands that the payments described in the Plan are offered as consideration for the Employee’s agreement to this General Release, including any claims based upon the ADEA and OWBPA set forth in </w:t>
      </w:r>
      <w:r>
        <w:rPr>
          <w:rFonts w:ascii="Times New Roman;serif" w:hAnsi="Times New Roman;serif"/>
          <w:b w:val="false"/>
          <w:color w:val="1C1C21"/>
          <w:sz w:val="22"/>
          <w:u w:val="single"/>
        </w:rPr>
        <w:t>Section 4</w:t>
      </w:r>
      <w:r>
        <w:rPr>
          <w:color w:val="1C1C21"/>
        </w:rPr>
        <w:t xml:space="preserve"> </w:t>
      </w:r>
      <w:r>
        <w:rPr>
          <w:rFonts w:ascii="Times New Roman;serif" w:hAnsi="Times New Roman;serif"/>
          <w:b w:val="false"/>
          <w:color w:val="1C1C21"/>
          <w:sz w:val="22"/>
        </w:rPr>
        <w:t xml:space="preserve">above, as well as Employee’s compliance with this General Release, including, but not limited to, the terms of </w:t>
      </w:r>
      <w:r>
        <w:rPr>
          <w:rFonts w:ascii="Times New Roman;serif" w:hAnsi="Times New Roman;serif"/>
          <w:b w:val="false"/>
          <w:color w:val="1C1C21"/>
          <w:sz w:val="22"/>
          <w:u w:val="single"/>
        </w:rPr>
        <w:t>Section 7</w:t>
      </w:r>
      <w:r>
        <w:rPr>
          <w:color w:val="1C1C21"/>
        </w:rPr>
        <w:t xml:space="preserve"> </w:t>
      </w:r>
      <w:r>
        <w:rPr>
          <w:rFonts w:ascii="Times New Roman;serif" w:hAnsi="Times New Roman;serif"/>
          <w:b w:val="false"/>
          <w:color w:val="1C1C21"/>
          <w:sz w:val="22"/>
        </w:rPr>
        <w:t xml:space="preserve">of the General Release. </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367665"/>
                <wp:effectExtent l="0" t="0" r="0" b="0"/>
                <wp:wrapNone/>
                <wp:docPr id="435" name="Frame4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Return of Property</w:t>
      </w:r>
      <w:r>
        <w:rPr>
          <w:rFonts w:ascii="Times New Roman;serif" w:hAnsi="Times New Roman;serif"/>
          <w:b w:val="false"/>
          <w:color w:val="000000"/>
          <w:sz w:val="22"/>
        </w:rPr>
        <w:t>. The Employee must immediately return to the Company all property of the Company in Employee’s possession, custody or control, including documents and materials, that contain non-public, confidential or proprietary information.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9.</w:t>
      </w:r>
      <w:r>
        <w:rPr>
          <w:rFonts w:ascii="Times New Roman;serif" w:hAnsi="Times New Roman;serif"/>
          <w:b w:val="false"/>
          <w:color w:val="1C1C21"/>
          <w:sz w:val="22"/>
          <w:u w:val="single"/>
        </w:rPr>
        <w:t>Titles and Headings</w:t>
      </w:r>
      <w:r>
        <w:rPr>
          <w:rFonts w:ascii="Times New Roman;serif" w:hAnsi="Times New Roman;serif"/>
          <w:b w:val="false"/>
          <w:color w:val="1C1C21"/>
          <w:sz w:val="22"/>
        </w:rPr>
        <w:t>. Titles and headings to sections, subsections and sub-subsections of this General Release are for the purposes of reference only and shall not affect the interpretation of this General Release.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General Release may be executed in counterparts, and each counterpart, when so executed and delivered, shall be deemed to be an original and both counterparts, taken together, shall constitute one and the same General Release. A faxed or pdf-ed signature shall operate the same as an original signature.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Assignment</w:t>
      </w:r>
      <w:r>
        <w:rPr>
          <w:rFonts w:ascii="Times New Roman;serif" w:hAnsi="Times New Roman;serif"/>
          <w:b w:val="false"/>
          <w:color w:val="000000"/>
          <w:sz w:val="22"/>
        </w:rPr>
        <w:t>. This General Release may not be assigned by the Employee. This General Release shall be assignable by the Company, in whole or in part, and will inure to the benefit of and be binding upon the Company and any successor organization which shall succeed to the Company by merger or consolidation or operation of law, or by acquisition of assets of the Company.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Modification; Severability</w:t>
      </w:r>
      <w:r>
        <w:rPr>
          <w:rFonts w:ascii="Times New Roman;serif" w:hAnsi="Times New Roman;serif"/>
          <w:b w:val="false"/>
          <w:color w:val="000000"/>
          <w:sz w:val="22"/>
        </w:rPr>
        <w:t>. In the event that a court of competent jurisdiction shall determine that any provision of this General Release or the application thereof is unenforceable in whole or in part because of the scope thereof, the parties hereto agree that said court in making such determination shall have the power to reduce the scope of such provision to the extent necessary to make it enforceable, and that the General Release in its reduced form shall be valid and enforceable to the full extent permitted by law. The provisions of this General Release are severable and the invalidity of any one or more provisions shall not affect the validity of any other provision.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General Release will be governed by and construed in accordance with the laws of New York, without regard to any conflict of law principles thereof that would give rise to the application of the laws of any other jurisdiction.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No Oral Modifications</w:t>
      </w:r>
      <w:r>
        <w:rPr>
          <w:rFonts w:ascii="Times New Roman;serif" w:hAnsi="Times New Roman;serif"/>
          <w:b w:val="false"/>
          <w:color w:val="000000"/>
          <w:sz w:val="22"/>
        </w:rPr>
        <w:t>. This General Release may not be changed or modified except by an agreement in writing, signed by the parties hereto.</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Continuing Obligations</w:t>
      </w:r>
      <w:r>
        <w:rPr>
          <w:rFonts w:ascii="Times New Roman;serif" w:hAnsi="Times New Roman;serif"/>
          <w:b w:val="false"/>
          <w:color w:val="000000"/>
          <w:sz w:val="22"/>
        </w:rPr>
        <w:t xml:space="preserve">. The Employee acknowledges that the Employee’s obligations to the Company that survive the termination of the Employment Agreement pursuant to Section 9(h) thereof, including without limitation Section 7 of the Employment Agreement remain in full force and effect remain in full force and effect and are </w:t>
      </w:r>
      <w:r>
        <w:rPr>
          <w:rFonts w:ascii="Times New Roman;serif" w:hAnsi="Times New Roman;serif"/>
          <w:b w:val="false"/>
          <w:color w:val="000000"/>
          <w:sz w:val="24"/>
        </w:rPr>
        <w:t>incorporated</w:t>
      </w:r>
      <w:r>
        <w:rPr>
          <w:color w:val="000000"/>
        </w:rPr>
        <w:t xml:space="preserve"> </w:t>
      </w:r>
      <w:r>
        <w:rPr>
          <w:rFonts w:ascii="Times New Roman;serif" w:hAnsi="Times New Roman;serif"/>
          <w:b w:val="false"/>
          <w:color w:val="000000"/>
          <w:sz w:val="22"/>
        </w:rPr>
        <w:t>by reference as if set forth herein.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xml:space="preserve">. This General Release constitutes the entire agreement between Employee and any of the Released Parties with respect to the subject matter hereof and supersedes all prior negotiations, representations, arrangements or agreements relating thereto. The Employee represents that in executing this Release, Employee has not relied on any representation or statement not set forth herein. No amendment or modification of this General Release shall be valid or binding on the parties unless in writing and signed by both parties. </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367665"/>
                <wp:effectExtent l="0" t="0" r="0" b="0"/>
                <wp:wrapNone/>
                <wp:docPr id="436" name="Frame4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ind w:left="0" w:right="0" w:hanging="5"/>
        <w:jc w:val="both"/>
        <w:rPr>
          <w:rFonts w:ascii="Times New Roman;serif" w:hAnsi="Times New Roman;serif"/>
          <w:b w:val="false"/>
          <w:color w:val="1C1C21"/>
          <w:sz w:val="22"/>
        </w:rPr>
      </w:pPr>
      <w:r>
        <w:rPr>
          <w:rFonts w:ascii="Times New Roman;serif" w:hAnsi="Times New Roman;serif"/>
          <w:b w:val="false"/>
          <w:color w:val="1C1C21"/>
          <w:sz w:val="22"/>
        </w:rPr>
        <w:t>IN WITNESS WHEREOF, this General Release is executed by the Employee and the Company on the below written date(s).</w:t>
      </w:r>
    </w:p>
    <w:p>
      <w:pPr>
        <w:pStyle w:val="TextBody"/>
        <w:bidi w:val="0"/>
        <w:spacing w:before="0" w:after="120"/>
        <w:ind w:left="0" w:right="0" w:hanging="5"/>
        <w:jc w:val="both"/>
        <w:rPr/>
      </w:pPr>
      <w:r>
        <w:rPr/>
      </w:r>
    </w:p>
    <w:tbl>
      <w:tblPr>
        <w:tblW w:w="5324" w:type="dxa"/>
        <w:jc w:val="left"/>
        <w:tblInd w:w="0" w:type="dxa"/>
        <w:tblLayout w:type="fixed"/>
        <w:tblCellMar>
          <w:top w:w="28" w:type="dxa"/>
          <w:left w:w="28" w:type="dxa"/>
          <w:bottom w:w="28" w:type="dxa"/>
          <w:right w:w="28" w:type="dxa"/>
        </w:tblCellMar>
      </w:tblPr>
      <w:tblGrid>
        <w:gridCol w:w="831"/>
        <w:gridCol w:w="731"/>
        <w:gridCol w:w="733"/>
        <w:gridCol w:w="887"/>
        <w:gridCol w:w="887"/>
        <w:gridCol w:w="1255"/>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Tyler Meade</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color w:val="000000"/>
              </w:rPr>
              <w:t>    </w:t>
            </w:r>
            <w:r>
              <w:rPr>
                <w:rFonts w:ascii="Times New Roman;serif" w:hAnsi="Times New Roman;serif"/>
                <w:b w:val="false"/>
                <w:color w:val="000000"/>
                <w:sz w:val="22"/>
                <w:u w:val="single"/>
              </w:rPr>
              <w:t xml:space="preserve">/s/ Tyler Meade </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Tyler Meade</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 xml:space="preserve">Dated: </w:t>
            </w:r>
            <w:r>
              <w:rPr>
                <w:rFonts w:ascii="Times New Roman;serif" w:hAnsi="Times New Roman;serif"/>
                <w:b w:val="false"/>
                <w:color w:val="000000"/>
                <w:sz w:val="22"/>
                <w:u w:val="single"/>
              </w:rPr>
              <w:t xml:space="preserve">29 March 2026 </w:t>
            </w:r>
          </w:p>
        </w:tc>
        <w:tc>
          <w:tcPr>
            <w:tcW w:w="302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Gemini Space Station, Inc.</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color w:val="000000"/>
              </w:rPr>
              <w:t>    </w:t>
            </w:r>
            <w:r>
              <w:rPr>
                <w:rFonts w:ascii="Times New Roman;serif" w:hAnsi="Times New Roman;serif"/>
                <w:b w:val="false"/>
                <w:color w:val="000000"/>
                <w:sz w:val="22"/>
                <w:u w:val="single"/>
              </w:rPr>
              <w:t xml:space="preserve">/s/ Cameron Winklevoss </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Cameron Winklevoss</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President</w:t>
            </w:r>
          </w:p>
          <w:p>
            <w:pPr>
              <w:pStyle w:val="TableContents"/>
              <w:bidi w:val="0"/>
              <w:spacing w:lineRule="auto" w:line="288" w:before="0" w:after="0"/>
              <w:jc w:val="both"/>
              <w:rPr>
                <w:color w:val="000000"/>
              </w:rPr>
            </w:pPr>
            <w:r>
              <w:rPr>
                <w:color w:val="000000"/>
              </w:rPr>
              <w:t>    </w:t>
            </w:r>
          </w:p>
          <w:p>
            <w:pPr>
              <w:pStyle w:val="TableContents"/>
              <w:bidi w:val="0"/>
              <w:spacing w:lineRule="auto" w:line="288" w:before="0" w:after="0"/>
              <w:jc w:val="both"/>
              <w:rPr/>
            </w:pPr>
            <w:r>
              <w:rPr>
                <w:rFonts w:ascii="Times New Roman;serif" w:hAnsi="Times New Roman;serif"/>
                <w:b w:val="false"/>
                <w:color w:val="000000"/>
                <w:sz w:val="22"/>
              </w:rPr>
              <w:t xml:space="preserve">Dated: </w:t>
            </w:r>
            <w:r>
              <w:rPr>
                <w:rFonts w:ascii="Times New Roman;serif" w:hAnsi="Times New Roman;serif"/>
                <w:b w:val="false"/>
                <w:color w:val="000000"/>
                <w:sz w:val="22"/>
                <w:u w:val="single"/>
              </w:rPr>
              <w:t xml:space="preserve">29 March 2026 </w:t>
            </w:r>
          </w:p>
        </w:tc>
      </w:tr>
    </w:tbl>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t>604394364v.2</w:t>
      </w:r>
    </w:p>
    <w:p>
      <w:pPr>
        <w:pStyle w:val="TextBody"/>
        <w:bidi w:val="0"/>
        <w:spacing w:before="0" w:after="0"/>
        <w:jc w:val="center"/>
        <w:rPr/>
      </w:pPr>
      <w:bookmarkStart w:id="3" w:name="a191-securitiestradingpo.htm"/>
      <w:bookmarkStart w:id="4" w:name="ksa191securitiestradingpo"/>
      <w:bookmarkEnd w:id="3"/>
      <w:bookmarkEnd w:id="4"/>
      <w:r>
        <w:rPr/>
        <w:drawing>
          <wp:inline distT="0" distB="0" distL="0" distR="0">
            <wp:extent cx="10048875" cy="13001625"/>
            <wp:effectExtent l="0" t="0" r="0" b="0"/>
            <wp:docPr id="43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2"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367665"/>
                <wp:effectExtent l="0" t="0" r="0" b="0"/>
                <wp:wrapNone/>
                <wp:docPr id="438" name="Frame43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Introduction This is the Gemini Space Station, Inc. Securities Trading Policy (“Policy”). This Policy provides rules and guidelines for trading standards of conduct for Gemini and its affiliates (collectively, “Gemini” or the “Company”). In the course of conducting the business of the Company, you may come into possession of material information about the Company or other entities that is not available to the investing public (referenced herein as “material nonpublic information,” as explained in greater detail below). You have a legal and ethical obligation to maintain the confidentiality of material nonpublic information. Generally, it is illegal and a violation of Company policy to trade in securities of the Company while you are in possession of material nonpublic information about the Company. It is also a violation of law to trade in the securities of another company (such as collaborators, customers, vendors, suppliers and other business partners of the Company) while in possession of material nonpublic information about that company obtained in the course of your position with Gemini. It is also Company policy to comply with applicable securities laws concerning trading in Company securities on the Company’s behalf. The Company’s Board of Directors (the “Board”) has adopted this Policy in order to ensure compliance with the law and to avoid even the appearance of improper conduct by anyone associated with Gemini. Trading of digital assets is not governed by this Policy, and is instead governed by Gemini’s Digital Assets Trading Policy. 1.1 Policy Overview All Company directors, officers, employees, and interns are required to comply with the procedures and restrictions set forth in this Policy. The Company also may determine that other persons, such as contractors or consultants, who have access to material nonpublic information, should be subject to this Policy. This Policy also applies to family members, such as spouses, minor children, adult family members who share the same household, and any other person or entity whose securities trading decisions are influenced or controlled by the officer, director, employee, or intern (each, a “Covered Person,” or “you”). For additional information regarding post-termination transactions, see Section 12 of this Policy. 2. Scope This Policy applies to transactions in common stock, preferred stock, bonds and other debt securities, options to purchase common stock, convertible debentures, and warrants, as well as derivative securities, whether or not issued by the Company, such as exchange-traded put or call options or swaps relating to the Company’s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3"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Transactions subject to this Policy also include gifts of Company securities, which may include gifts to trusts for estate planning purposes, as well as donations to a charitable organization. See Section 5, “Special Transactions” and Section 6, “Restricted Transactions” for further discussion of certain types of securities and transactions. To avoid even the appearance of impropriety, additional restrictions on trading Company securities apply to directors, officers, and certain designated employees who have regular access to material nonpublic information about the Company. These policies are set forth in the Company’s Addendum to the Securities Trading Policy, attached hereto (the “Addendum”). The Company will notify you if you are subject to the Addendum. The Addendum generally requires pre-clearance for all transactions in Company securities. 3. Individual Responsibility Each person subject to this Policy is individually responsible for complying with this Policy and ensuring the compliance of any Covered Person whose transactions are subject to this Policy. Accordingly, you should make your family and household members aware of the need to confer with you before they trade in Company securities and you should treat all such transactions for purposes of this Policy and applicable securities laws concerning trading while in possession of material nonpublic information as if the transactions were for your own account. In all cases, the responsibility for determining whether an individual is in possession of material nonpublic information rests with that individual and any action on the part of the Company or any other Company employee pursuant to this Policy (or otherwise) does not in any way constitute legal advice or insulate an individual from liability under applicable securities laws. 4. Material Nonpublic Information (MNPI) 4.1 Material Information Under Company policy and United States laws, information is material if: ● there is a substantial likelihood that a reasonable investor would consider the information important in determining whether to trade in a security; or ● the information, if made public, likely would affect the market price of a company’s securities. Information may be material even if it relates to future, speculative, or contingent events and even if it is significant only when considered in combination with publicly available information. Material information can be positive or negative. Nonpublic information can be material, even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4"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with respect to companies that do not have publicly traded stock, such as those with outstanding bonds. Depending on the facts and circumstances, information that could be considered material includes, but is not limited to, information pertaining to the following: ● earnings announcements or guidance, or changes to previously released announcements or guidance; ● other unpublished financial results; ● unpublished information concerning customer trading activity on the Company; ● the Company’s future plans with respect to any digital asset; ● writedowns and additions to reserves for bad debts; ● expansion, curtailment of, or certain other changes to operations and business disruptions; ● a significant cybersecurity incident or risk, including one that may adversely impact the Company’s business, reputation, or share value; ● pending or threatened significant litigation or government action, or the resolution thereof; ● a pending or proposed merger, acquisition, tender offer, joint venture, restructuring, or change in assets; ● changes in analyst recommendations or debt ratings; ● events regarding the Company’s securities (e.g., defaults on senior securities, calls of securities for redemption, repurchase plans, stock splits, changes in dividend policy, changes to the rights of securityholders, or an offering of additional securities); ● changes in control of the Company or extraordinary management developments; ● changes in the Company’s pricing or cost structure; ● extraordinary borrowing or other financing transactions out of the ordinary course; ● liquidity problems or impending bankruptcy; ● changes in auditors or auditor notification that the Company may no longer rely on an audit report;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5"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development of a significant new product, process, or service. 4.2 Nonpublic Information Information is considered to be nonpublic unless it has been adequately disclosed to the public. This means that the information must be publicly disseminated and sufficient time must have passed for the securities markets to digest the information. It is important to note that information is not necessarily public merely because it has been discussed in the press or on social media, which will sometimes report rumors. You should presume that information is nonpublic, unless you can point to the official release of that information by the Company in at least one of the following ways: ● publicly available filings with the U.S. Securities and Exchange Commission (the “SEC”) or securities regulatory authorities; ● issuance of press releases via major newswire such as Dow Jones or Reuters; or ● posting the information on the Company’s website at www.gemini.com. You may not attempt to “beat the market” by trading simultaneously with, or shortly after, the official release of material information. Although there is no fixed period for how long it takes the market to absorb information, out of prudence a person in possession of material nonpublic information should refrain from any trading activity for one full trading day following the official release of such information. Twenty-Twenty Hindsight. If securities transactions ever become the subject of scrutiny, they are likely to be viewed after-the-fact with the benefit of hindsight. As a result, before engaging in any transaction you should carefully consider how the transaction may be construed in the bright light of hindsight. If you have any questions or uncertainties about this Policy or a proposed transaction, please ask the Chief Compliance Officer (the “CCO”). 4.3 “Tipping” Material Nonpublic Information In addition to trading while in possession of material nonpublic information, it is also illegal and a violation of this Policy, as well as the Company’s policies on confidentiality of information (including the provisions of Section 8 below), to provide such information to another person (“tipping”), who may trade or to advise another to trade on the basis of such information. This Policy applies regardless of whether the person or entity who receives the information, the “tippee,” is related to you and regardless of whether you receive any monetary benefit from the tippee.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6"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Special Transactions The trading restrictions in this Policy do not apply in the case of the following transactions, except as specifically noted: 5.1 Employee Stock Purchase Plan The trading restrictions in this Policy do not apply to purchases of Company stock in any employee stock purchase plan that may be available resulting from periodic payroll contributions to the plan under an election made at the time of enrollment in the plan. The trading restrictions also do not apply to purchases of Company securities resulting from lump sum contributions to any such plan, provided that you elected to participate by lump sum payment at the beginning of the applicable enrollment period. The trading restrictions would apply, however, to an election to participate in the plan or changes in payroll contributions made outside of an open enrollment period and to subsequent sales of Company stock purchased under an employee stock purchase plan. 5.2 401(k) Plan The trading restrictions in this Policy would not apply to purchases of Company stock in the 401(k) plan resulting from periodic contributions of money to the plan pursuant to payroll deduction elections, should a Company stock fund option in the 401(k) plan become available. The trading restrictions would apply, however, to elections made under the 401(k) plan to: (i) increase or decrease the percentage of periodic contributions that would be allocated to the Company stock fund; (ii) make an intra-plan transfer of an existing account balance into or out of the Company stock fund; (iii) borrow money against a 401(k) plan account if the loan could result in a liquidation of some or all of a Company stock fund balance; and (iv) pre-pay a plan loan if the pre-payment will result in allocation of loan proceeds to the Company stock fund. 5.3 Stock Option Plans To the extent the Company issues stock options, the trading restrictions in this Policy do not apply to exercises of (i) stock options where no Company common stock is sold in the market to fund the option exercise price or related taxes (i.e., a net exercise or where cash is paid to exercise the option) or (ii) a tax withholding right pursuant to which a person has elected to have the Company withhold shares subject to an option to satisfy tax withholding requirements. The trading restrictions do apply, however, to subsequent sales of Company common stock received upon the exercise of options in which the proceeds are used to fund the option exercise price (i.e., a cashless exercise of options) or related taxes.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7"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Restricted Stock Awards and Restricted Stock Units The trading restrictions in this Policy do not apply to the vesting of restricted stock or the settlement of restricted stock units, or the exercise of a tax withholding right pursuant to which the Company withholds shares of stock to satisfy tax withholding requirements upon the vesting of any restricted stock or settlement of any restricted stock units. The trading restrictions do apply, however, to any market sale of restricted stock or sale of Company common stock received upon the settlement of restricted stock units. 5.5 Other Similar Transactions Any other purchase of Company securities directly from the Company or sales of Company securities directly to the Company may be exempted from the trading restrictions of this Policy with approval by the Chief Legal Officer (the “CLO”) or the Board. 6. Restricted Transactions Due to the heightened legal risk associated with the following transactions, the individuals subject to this Policy are subject to the following restrictions: 6.1 Publicly Traded Options You may not trade in options, warrants, puts and calls, or similar instruments on Company securities. Given the relatively short term of publicly traded options, transactions in options may create the appearance that a director, officer, or other employee is trading based on material nonpublic information and focus a director’s, officer’s, or other employee’s attention on short-term performance at the expense of the Company’s long-term objectives. 6.2 Margin Accounts Because a margin sale may occur at a time when the pledgor is aware of material nonpublic information or otherwise is not permitted to trade in Company securities, you may not hold Company securities in a margin account. 6.3 Pledges Pledges of our securities as collateral for loans (excluding in margin accounts) are permitted under certain circumstances. Permitted Persons may pledge their stock (exclusive of options, warrants, restricted stock units, or other rights to purchase stock) as collateral for a bona fide loan. “Permitted Person” means the President or Chief Executive Officer of the Company. Note that a lender may liquidate such collateral in the event of an unmet call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8"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required payment and you remain responsible for ensuring you are in compliance with insider trading laws. 6.4 Hedging Transactions You may not engage, directly or indirectly, in hedging transactions, or otherwise engage in transactions that hedge or offset, or are designed to hedge or offset, any decrease in the market value of Company securities other than, in each case, as described under Section 6.5 of this Policy. Hedging transactions include, but are not limited to, collars, equity swaps, exchange funds, and prepaid variable forward sale contracts (except to the extent permitted under Section 6.5 of this Policy). Hedging transactions may allow a director, officer, or other employee to continue to own Company securities, but without the full risks and rewards of ownership. This may lead to the director, officer, or other employee no longer having the same objectives as the Company’s other shareholders. 6.5 Prepaid Forward Transactions Any Permitted Person may enter into prepaid variable forward transactions or substantially similar transactions with respect to the Company securities, for so long as the aggregate Company securities underlying all such transactions entered into by the Permitted Persons outstanding at such time do not exceed 10% of the Company’s outstanding common stock, including shares covering or underlying vested equity awards, beneficially owned by such Permitted Persons on such date.. 6.6 Short-Term Trading If you purchase Company securities in the open market, you are strongly discouraged from selling any Company securities of the same class, which includes any other securities that are convertible or exchangeable into such class, during the six months following the purchase or vice versa, except to cover taxes related to the vesting of restricted stock or the settlement of restricted stock units. Short-term trading of Company securities may be distracting to you and may unduly focus you on the Company’s short-term stock market performance instead of the Company’s long-term business objectives. In order to discourage directors and officers from profiting through short- term trading transactions in equity securities of the Company, Section 16(b) of the Securities Exchange Act of 1934 (the “Exchange Act”) requires that any “short-swing profits” be disgorged to the Company, as discussed in more detail in the Addendum.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9"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Standing and Limit Orders. You may not place standing or limit orders on Company securities, unless executed as part of a Rule 10b5-1 Plan discussed in Section 7 of this Policy or otherwise approved by the CLO or the Board. Standing and limit orders create heightened risks for insider trading violations because there is no control over the timing of purchases or sales that result from standing instructions to a broker, and as a result, the broker could execute a transaction when you possess material nonpublic information. 7. Rule 10B5-1 Trading Plans Notwithstanding the prohibition against insider trading, SEC Rule 10b5-1 provides an affirmative defense against insider trading liability under Rule 10b-5. A person subject to this Policy can rely on this defense and trade in Company securities, regardless of their awareness of material nonpublic information, if the transaction occurs pursuant to a pre-arranged written trading plan (“Rule 10b5-1 Plan”) that was entered into when the person was not in possession of material nonpublic information and that complies with the requirements of Rule 10b5-1. Directors and officers of the Company (collectively, “Section 16 Insiders”) subject to Section 16 of the Exchange Act should be aware that the Company will be required to make quarterly disclosures regarding all Rule 10b5-1 Plans entered into, amended, or terminated by Section 16 Insiders and to include the material terms of such plans, other than pricing information. Rule 10b5-1 Plans may not be adopted by a person when he or she is in possession of material nonpublic information about the Company or its securities and must comply with the requirements of Rule 10b5-1, including specified waiting periods and limitations on multiple overlapping plans and single trade plans. Once the Rule 10b5-1 Plan is adopted, you must not exercise any subsequent influence over the amount of securities to be traded, the price at which they are to be traded, or the date of the trade. You may amend or replace a Rule 10b5-1 Plan only during periods when trading is permitted in accordance with this Policy. You must provide a copy of any Rule 10b5-1 Plan you have entered into to the Legal Team. Section 16 Insiders and Designated Employees (as defined in the Addendum) will be subject to additional pre-approval requirements for entering into, amending, or replacing a Rule 105-1 Plan as set forth in the Addendum.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10"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Blackout Periods You are subject to the following blackout periods, during which you may not trade in the Company’s securities (except by means of pre-arranged Rule 10b5-1 Plans established in compliance with Section 7 of this Policy): 8.1 Quarterly Blackout Because the announcement of the Company’s quarterly financial results will almost always have the potential to have a material effect on the market for the Company’s securities, you may not trade in the Company’s securities during the period beginning on the fifteenth day of the last month of the quarter and ending after the first full business day following the release of the Company’s earnings for that quarter. 8.2 Interim Earnings Guidance Blackout The Company may on occasion issue interim earnings guidance or other potentially material information by means of a press release, SEC filing on Form 8-K, or other means designed to achieve widespread dissemination of the information. You should anticipate that trading will be blacked out while the Company is in the process of assembling the information to be released and until the information has been released and fully absorbed by the market. 8.3 Event-Specific Blackout From time to time, an event may occur that is material to the Company and is known by only a few directors, officers, and/or employees. The existence of an event-specific blackout will not be announced. If, however, you request permission to trade in the Company’s securities during an event-specific blackout, the CLO, CCO, or their designees will inform you of the existence of a blackout period, without disclosing the reason for the blackout. Any person made aware of the existence of an event-specific blackout should not disclose the existence of the blackout to any other person. 8.4 Regulation BTR Directors and officers may also be subject to event-specific blackouts pursuant to the SEC’s Regulation Blackout Trading Restriction, which prohibits certain sales and other transfers by insiders during certain pension plan blackout periods. Even if a blackout period is not in effect, at no time may you trade in Company securities if you are in possession of material nonpublic information about the Company. The failure of the CLO, CCO, or their designees to notify you of an event-specific blackout will not relieve you of the obligation not to trade while in possession of material nonpublic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11"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Safeguarding Confidential Information If material information relating to Gemini or its business is considered nonpublic, you must keep it strictly confidential and discuss it only with individuals who have a legitimate business “need to know” the information. Always exercise the highest level of care to protect Gemini’s confidential information. Follow these practices to prevent unauthorized disclosure of confidential information that could cause significant harm to Gemini, its customers, and our reputation: ● Do not discuss confidential information in public areas (e.g., elevators, restaurants, airplanes, etc.) where unauthorized individuals may overhear; keep such discussions confined to private settings. Please refer to the Mission Manual (the Mission Security section) and Employee Handbook (the Sensitive Proprietary Information section) for more guidance. ● Do not use speakerphones or mobile phones for confidential discussions unless privacy is fully assured and never disclose confidential information to relatives or social contacts. Please refer to the Mission Manual and Employee Handbook (the Sensitive Proprietary Information section). ● Never share your computer, mobile device, or credentials (e.g., account ID, password). Enable strong passwords, lock screens, and log off when devices are unattended. Please refer to the Securing Your Devices and Securing Your Accounts sections of the Gemini Mission Manual for more information. ● Store confidential information (e.g., notes, documents) out of sight when not in use and lock them in a desk, cabinet, or office if the material is sensitive. Never leave confidential documents where unauthorized persons can view them. Please refer to the Data Governance Policy and Gemini Safe-Handling Requirements for more information. ● Treat the Internet and other external email or messaging services (e.g., Facebook, WhatsApp, Telegram) as insecure channels. Only use Gemini approved encryption methods for any confidential electronic communication (e.g., SendSafely). Please refer to the Email &amp; Data Security section of the Gemini Mission Manual for more information. 10. Responding to Requests for Information You may find yourself the recipient of questions concerning various activities of the Company. Such inquiries can come from the media, securities analysts, and others regarding the Company’s business, rumors, trading activity, current and future prospects and plans, acquisition or divestiture activities, and other similar important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12"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Under no circumstances should you attempt to handle these inquiries without prior authorization obtained in compliance with the Company’s Regulation FD Policy. Only Company individuals specifically authorized to do so may answer questions about or disclose information concerning the Company. Requests for information regarding the Company should be referred to the persons specified in the Company’s Regulation FD Policy. Requests for information from the SEC or other regulators should be referred to the CLO. 11. Reporting Violations/Seeking Advice You should refer suspected violations of this Policy to the CCO or the CLO, or their designees. You can also refer suspected violations through the reporting procedures set forth in the Company’s Code of Business Conduct and Ethics and Whistleblower Policy. In addition, if you: ● receive material nonpublic information that you are not authorized to receive or that you do not need to know to perform your employment responsibilities; or, ● receive confidential information and are unsure if it is within the definition of material nonpublic information or whether its release might be contrary to a fiduciary or other duty or obligation, you should not share it with anyone. To seek advice about what to do under those circumstances, you should contact the CCO or the CLO, or their designees. Consulting any other colleagues may have the effect of exacerbating the problem, as containment of the information, until the legal implications of possessing it are determined, is critical. 12. Post-Termination Transactions This Policy and the Addendum continue to apply to transactions in Company securities even after a person’s service with the Company is terminated. If a person is in possession of material nonpublic information when his or her service terminates, that individual may not trade in Company securities until that information has become public or is no longer material. Questions or concerns on whether any continuing nonpublic information remains material should be directed to the CCO or the CLO, or their designees. Although the pre-clearance procedures specified in the Addendum will cease to apply upon termination of service of an individual, such individual may not trade in Company securities until after the end of the blackout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13"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Penalties for Violations of the Insider Trading Laws and This Policy In the United States and many other countries, the personal consequences to you of illegal insider trading can be severe. In addition to injunctive relief, disgorgement, and other ancillary remedies, U.S. law empowers the government to seek significant civil penalties against persons found liable of insider trading, including as tippers or tippees. The amount of a penalty could total three times the profits made or losses avoided. The maximum penalty may be assessed even against tippers for the profits made or losses avoided by all tippees, including remote tippees (i.e., others who may have been tipped by the tippee). Further, civil penalties of the greater of $2.6 million or three times the profits made or losses avoided can be imposed on any person who “controls” a person who engages in illegal insider trading. Criminal penalties may also be assessed for insider trading. Any person who “willfully” violates certain provisions of the U.S. federal securities laws may be fined up to $5 million ($25 million for entities) and/or imprisoned for up to 20 years. Subject to applicable law, Company employees who violate this Policy may also be subject to discipline by the Company, up to and including suspension or termination of employment for cause, even if the country or jurisdiction where the conduct took place does not regard it as illegal. Needless to say, a violation of law, or even a governmental or regulatory investigation that does not result in prosecution, can tarnish a person’s reputation and irreparably damage a career. If you are located or engaged in dealings outside the U.S., be aware that laws regarding insider trading and similar offenses differ from country to country. Employees must abide by the laws in the country where located. However, you are required to comply with this Policy even if local law is less restrictive. If a local law conflicts with this Policy, you must consult the CCO or the CLO, or their designees. 14. Attestation Requirements 14.1 Initial Attestation You must certify in writing by executing the signature page attached hereto as Appendix 1, or other similar form, and thereby acknowledge that you: (a) have received a copy of this Policy; (b) have read and understand all the terms and provisions of this Policy; (c) understand that violations of this Policy may subject you to disciplinary action, up to and including suspension or termination of employment for cause, as well as civil and criminal penalties; and (d) have agreed to be subject to and comply with all the terms and provisions of this Policy as of the commencement date of your employment or relationship with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14"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 Annual Attestation You must, at least annually, recertify in writing by executing the signature page attached hereto as Appendix 2, or other similar form, and thereby acknowledge that you: (a) have received a copy of this Policy; (b) have read and understand all the terms and provisions of this Policy; (c) understand that violations of this Policy may subject you to disciplinary action, up to and including suspension or termination of employment for cause, as well as civil and criminal penalties; and (d) have agreed to be subject to and comply with all the terms and provisions of this Policy and its procedures as of the commencement date of your employment or relationship with the Company. 15. Policy Administration and Questions The Board has adopted this Policy and its procedures in order to ensure compliance with applicable laws and to avoid even the appearance of improper conduct by anyone associated with the Company. Our CCO and CLO maintain responsibility for administering this Policy. Any exceptions to this Policy must be approved by the CCO or the CLO, or their designees and electronically documented. Our CCO and CLO, in consultation with senior management, reviews, at least annually, this Policy and, in light of any legal and business developments as well as experience gained through implementation, recommends any appropriate changes to the Board. Questions about this Policy should be directed to the CCO or the CLO, or their designees.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15"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1: Initial Attestation IN WITNESS WHEREOF, I acknowledge that I have received New Hire Compliance Training and a copy of the Gemini Space Station, Inc. (“Gemini”) Securities Trading Policy (“Policy”), and represent that: 1. I have received a copy of the Policy; 2. I have read the Policy and understand the policy and procedures included therein; 3. I will comply with the Policy and its procedures in all respects; 4. If I am an employee of Gemini, I acknowledge that the Policy is a statement of policies and procedures and does not, in any way, constitute an employment contract or an assurance of continued employment; and 5. If I am an employee of Gemini, I agree and understand that my failure to comply with the Policy may result in disciplinary action, up to and including suspension or termination of employment for cause. Signature: _______________________ Name: Title: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16"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2: Annual Attestation IN WITNESS WHEREOF, I hereby certify that: 1. I have reread and understand the Gemini Space Station, Inc. (“Gemini”) Securities Trading Policy (“Policy”); 2. I will continue to comply with the Policy and its procedures in all respects going forward; 3. Since my last certification, I have complied with the Policy and its procedures; and 4. Any exceptions to the Policy that I have made since my last certification are described in the comments section below. I agree and understand that by leaving the comment section below blank, I am certifying that I have not made any exceptions to any part of the Policy. Signature: _______________________ Name: Title: Date: Comments: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17"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GEMINI SPACE STATION, INC. ADDENDUM TO SECURITIES TRADING POLICY 1. INTRODUCTION This Addendum explains requirements and procedures, which apply to all directors and officers subject to Section 16 of the Securities Exchange Act of 1934 (the “Exchange Act”) (collectively, “Section 16 Insiders”) as well as certain designated employees (the “Designated Employees”) of Gemini Space Station, Inc. (the “Company”) who are designated from time to time by the Company’s Chief Legal Officer (the “CLO”) or Chief Compliance Officer (“CCO”) as having, or are likely to have, access to material nonpublic information in the normal course of their duties, and is in addition to and supplements the Company’s Securities Trading Policy (the “Policy”), as well as to their spouses, minor children, adult family members sharing the same household, and any other person or entity over whom the individual exercises influence or control over his, her, or its securities trading decisions (each, a “Covered Person,” or “you”). Please note that this Addendum applies to all Company securities that you hold or may acquire in the future. Please read this Addendum carefully. When you have completed your review, please sign the attached acknowledgement form and return it to the Company’s CLO or the CCO, or their designees. 2. PRE-CLEARANCE PROCEDURES Section 16 Insiders and Designated Employees (and their respective Covered Persons) may not engage in any transaction involving the Company’s securities, including the exercise of stock options, gifts, loans, contributions to a trust, or any other transfers, without first obtaining pre-clearance of the transaction from the Company’s CLO, CCO, or their designees. Each proposed transaction will be evaluated to determine if it raises insider trading concerns or other concerns under federal laws and regulations. Any advice will relate solely to the restraints imposed by law and will not constitute advice regarding the investment aspects of any transaction. Clearance of a transaction must be re-requested if the transaction order is not placed within 48 hours of obtaining pre-clearance. If clearance is denied, the fact of such denial must be kept confidential by the person requesting such clearance. When requesting pre-clearance, the requestor should carefully consider whether he or she may be aware of any material nonpublic information about the Company, and should describe fully those circumstances to the Company’s CLO, CCO, or their designees. The requestor should also indicate whether he or she has effected any non-exempt “opposite-way”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18"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within the past six months and should be prepared to report the proposed transaction on an appropriate Form 4 or 5, if applicable. The requestor should also be prepared to comply with U.S. Securities and Exchange Commission (the “SEC”) Rule 144 and file Form 144, if advisable, at the time of any sale. Notwithstanding the foregoing, pre-clearance is not required for any trades made pursuant to a pre-arranged Rule 10b5-1 Plan adopted in accordance with the requirements of this Policy. Pre-clearance also is not required for the “Special Transactions” to which the Policy does not apply, subject to certain exceptions described in Section 5 of the Policy. 3. REPORTING AND FORM FILING REQUIREMENTS Under Section 16(a) of the Exchange Act, directors and officers of the Company, as well as beneficial owners of more than 10% of the outstanding shares of any class of voting Company equity securities registered under Section 12 of the Exchange Act, must file forms with the SEC disclosing their direct and indirect pecuniary interest in most transactions involving the Company’s equity securities. In this context, “equity securities” of the Company include shares of the classes of equity securities created under the Company’s governing documents, such as common stock, as well as any securities (regardless of whether issued by the Company) that are exchangeable for or convertible into, or that derive their value from, an equity security of the Company. These other securities are known as “derivative securities,” and include options, restricted share units, warrants, convertible securities, and stock appreciation rights. 3.1 Forms 3, 4 and 5 The Legal Team will assist directors and officers in preparing and filing the following Section 16 reports, but each individual director and officer is responsible for the timing and contents of his or her reports: ● Form 3, Initial Beneficial Ownership Statement. A person who becomes a director or officer of the Company must file a Form 3 within ten (10) calendar days of becoming a director or officer, even if such person does not own any Company equity securities at the time. The Form 3 must disclose such person’s position and ownership of any Company equity securities as of immediately prior to assuming office. ● Form 4, Changes of Beneficial Ownership Statement. As long as a person remains a director or officer, and for up to six months after a person no longer holds such a position with the Company, a Form 4 must be filed with the SEC before 10pm ET, on the second business day following any transaction by that person, whether directly or indirectly, in Company equity securities. There are exceptions to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19"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requirement for acquisitions from gifts (but not dispositions by gifts) and a very limited class of employee benefit plan transactions. ● Form 5, Annual Beneficial Ownership Statement. A Form 5 must be filed with the SEC by any individual who served as a director or officer of the Company during any part of the Company’s fiscal year to report: ● all reportable transactions in Company equity securities that were specifically eligible for deferred reporting on Form 5; ● all transactions that should have been reported during the last fiscal year but were not; and ● with respect to an individual’s first Form 5, all transactions which should have been reported but were not for the last two fiscal years. A Form 5 need not be filed if all transactions otherwise reportable have been previously reported. If required, Form 5 must be filed within forty-five (45) days after the end of the Company’s fiscal year (e.g., February 14 for calendar-year companies) or the first business day thereafter. Common types of transactions reportable on Form 5 include acquisitions from gifts (but not dispositions by gifts) and certain acquisitions of less than $10,000 in any six-month period, either of which may be reported on a voluntary basis on any Form 4 filed before the Form 5 is due. 3.2 Indirect Ownership by Covered Persons The reports described above must also reflect any indirect ownership by directors and officers, including all holdings and transactions by Covered Persons. This includes changes in ownership by immediate family members living in the director’s or officer’s household and any other person or entity over whom the individual exercises influence or control over his, her, or its securities trading decisions. For this purpose, “immediate family” includes a spouse, children, stepchildren, grandchildren, parents, grandparents, stepparents, and siblings, including in-laws and adoptive relationships. Any questions concerning whether a particular transaction will necessitate filing of one of these forms, or how or when they should be completed, should be asked of the Company’s CLO, CCO, or their designees, or, if you prefer, your individual legal counsel. The Company must disclose in its Annual Report on Form 10-K and in its Proxy Statement any delinquent filings of Forms 3, 4, or 5 by directors and officers and must post on its website any Forms 3, 4, and 5 relating to the Company’s securities by the end of the business day after filing with the SEC.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20"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Reporting Exemptions for Certain Employee Benefit Plan Transactions Rule 16b-3 under the Exchange Act provides exemptions for director and officer reporting of certain employee benefit plan events on Forms 4 and 5, including certain routine transactions under tax-conditioned thrift, stock purchase, and excess benefit plans. A transaction that results only in a change in the form of a person’s beneficial ownership is also exempt from reporting. An exempt “change in the form of beneficial ownership” would include, for example, a distribution of benefit plan securities to an insider participant where the securities were previously attributable to the insider. Exercises or conversions of derivative securities would not, however, be considered a routine transaction changing beneficial ownership and would, therefore, be reportable. The vesting of most stock options, restricted stock, and stock appreciation rights is also not subject to the reporting requirements, although related share-withholding transactions, if any, would give rise to Form 4 reporting obligations. 4. SHORT-SWING TRADING PROFITS AND SHORT SALES 4.1 Short-Swing Trading Profits In order to discourage directors and officers from profiting through short-term trading transactions in equity securities of the Company, Section 16(b) of the Exchange Act requires that any “short-swing profits” be disgorged to the Company. This is in addition to the reporting requirements described above. “Short-swing profits” are the profits, whether real or notional, that result from any purchase and sale or sale and purchase of the Company’s equity securities within a six-month period, unless there is an applicable exemption for either transaction. It is important to note that this rule applies to any matched transactions in the Company’s securities, including derivative securities, not just a purchase and sale or sale and purchase of the same shares or even of the same class of securities. Furthermore, pursuant to the SEC’s rules, profit is determined so as to maximize the amount that the director or officer must disgorge and this amount may not be offset by any losses realized. “Short-swing profits” may exceed economic profits. 4.2 Short-Swing Exemptions for Employee Benefit Plan Transactions As indicated, to come within the short-swing rules, a purchase and sale or sale and purchase within any period of less than six months are matched to determine whether a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21"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officer has realized profit subject to the short-swing profit rule described above. Certain acquisitions or dispositions are exempt from matching and Rule 16b-3 creates an exemption for, or permits the Company’s board of directors or a qualifying committee to exempt, certain transactions between a director or officer and the Company. For example, assuming proper advance approval by the board of directors or a qualifying committee, an acquisition of shares from a vesting equity award or an exercise of compensatory stock options would not be a matchable “purchase” and a disposition of shares to satisfy tax withholding obligations related to the net settlement of a vesting equity award would not be a matchable “sale.” This exemption, however, is available only for transactions between a director or officer and the Company and does not cover, for instance, an open market sale of shares to satisfy tax withholding obligations from the vesting of an equity award. In addition, under Rule 16b-3, certain transactions involving acquisitions of equity securities under employee benefit plans are not counted as “purchases” for purposes of the short-swing profit rule, provided that the benefit plan meets various statutory requirements. The Company’s 2025 Employee Stock Purchase Plan meets these requirements, and therefore an ordinary- course acquisition of equity securities under such plan generally speaking is not treated as a “purchase” subject to the short-swing profit rule. 4.3 Prohibition Against Short Sales Section 16 Insiders and Designated Employees (and their respective Covered Persons) may not engage in short sales of Company securities. A short sale has occurred if the seller (a) does not own the securities sold or (b) does own the securities sold, but does not deliver them within 20 days or place them in the mail within five days of the sale. Short sales may reduce a seller’s incentive to seek to improve the Company’s performance and often have the potential to signal to the market that the seller lacks confidence in the Company’s prospects. 5. Rule 10b5-1 plan Any Section 16 Insider or Designated Employee who wishes to enter into a Rule 10b5-1 Plan must submit the Rule 10b5-1 Plan to the Legal Team for its approval at least five (5) business days prior to the planned entry into the Rule 10b5-1 Plan and must submit any proposed amendment or replacement of a Rule 10b5-1 Plan to the Legal Team for approval prior to adoption. Any Section 16 Insider or Designated Employee must provide notice to the Legal Team prior to terminating a Rule 10b5-1 Plan. You should understand that a modification or termination of a Rule 10b5-1 Plan may call into question your good faith in entering into and operating the plan, and therefore may jeopardize the availability of the affirmative defense against insider trading allegations.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22"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LIMITATIONS AND REQUIREMENTS ON RESALES OF THE COMPANY’S SECURITIES The Securities Act requires that securities may be sold only pursuant to an effective registration statement or an exemption from the registration requirements. Directors and certain officers who are, or were within the prior 90 days, affiliates of the Company and who wish to sell Company securities may seek a “safe harbor” for their sales to establish an exemption from such registration requirements by complying with the conditions of Rule 144 applicable to affiliates. “Securities” under Rule 144 are broadly defined to include all securities, not just equity securities. The Rule 144 safe harbor is available not only to sales of common and preferred stock, but also to sales of bonds, debentures, and any other form of security. Affiliates and others who seek to sell securities acquired directly from the Company or a Company affiliate in a series of transactions not involving any public offering may avail themselves of the safe harbor of Rule 144 by complying with the provisions applicable to resales of “restricted securities” (which apply, for affiliates, in addition to, and in conjunction with, the provisions of that Rule applicable to resales by affiliates). The following summarizes relevant provisions of Rule 144, as they apply to resales by directors and officers seeking to take advantage of the safe harbor: 6.1 Current public information There must be adequate current public information available regarding the Company. This requirement is satisfied only if the Company has filed all reports required by the Exchange Act during the twelve (12) months preceding the sale, other than Form 8-K reports. 6.2 Manner of sale The sale of Company shares by a director or officer must be made in one of the following manners: i. in an open market transaction through a broker at the prevailing market price for no more than the usual and customary brokerage commission; ii. to a market maker at the price held out by the market maker; or iii. in a riskless principal transaction in which trades are executed at the same price, exclusive of any explicitly disclosed markup or markdown, commission equivalent or other fee, and where the transaction is permitted to be reported as riskless under the rules of a self-regulatory organization. Furthermore, the broker may not solicit or arrange for the solicitation of customers to purchase the shares. In addition, your broker likely has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23"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own Rule 144 procedures (and must be involved in transmitting Form 144 (see item 4 below)), so it is important to speak with your broker prior to any sale. Even if your stock certificates do not contain any restrictive legends, you should inform your broker that you may be considered an affiliate of the Company. 6.3 Number of shares which may be sold Equity Securities. The amount of equity securities that a director or officer may sell in a three-month period is limited to the greater of: i. 1% of the outstanding shares of the same class of the Company; or ii. the average weekly reported trading volume in the four (4) calendar weeks preceding the transactions. Debt Securities. The amount of debt securities that a director or officer may sell in a three-month period is limited to the greater of: i. the average weekly reported trading volume in the four (4) calendar weeks preceding the sale; or ii. 10% of the principal amount of the tranche of debt securities (or 10% of the class of non-participatory preferred stock). 6.4 Notice of proposed sale. If the amount of securities proposed to be sold by a director or officer during any three- month period exceeds 5,000 shares or has an expected aggregate sale price in excess of $50,000, the director or officer must file a notice of sale on Form 144 with the SEC, prior to, or concurrently with, the placing of the order to sell securities. 6.5 Holding periods. Any restricted securities must be held for six (6) months prior to reselling such securities. In certain situations (e.g., securities acquired through stock dividends, splits, conversions or the net settlement of certain options), “tacking” is permitted, that is, the new securities will be deemed to have been acquired at the same time as the original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24"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PENALTIES FOR VIOLATING THE SECURITIES LAWS AND COMPANY POLICY The seriousness of securities law violations is reflected in the penalties such violations carry. A director’s resignation may be sought, or an officer will be subject to possible Company disciplinary action. up to and including suspension or termination of employment for cause. In addition, both the Company itself and individual directors, officers, or employees may be subjected to both criminal and civil liability. These violations may also create negative publicity for the Company. 8. QUESTIONS Because of the technical nature of some aspects of the federal securities laws, all directors and officers should review this material carefully and contact the CLO, CCO, or their designees if at any time (i) you have questions about this Policy or its application to a particular situation or (ii) you plan to trade in the Company’s securities, but are unsure as to whether the transaction might be in conflict with securities laws and/or this Company Policy. 9. ACKNOWLEDGMENT All directors, officers, and other employees subject to the procedures set forth in this Addendum must acknowledge their understanding of, and intent to comply with, the Company’s Securities Trading Policy and this Addendum on the form attached to this Addendum.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25"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Section 16 Insiders and Designated Employees Certification IN WITNESS WHEREOF, I hereby certify that I have read and understand the Gemini Securities Trading Policy and the Addendum thereto applicable to directors, officers, and certain designated employees (collectively, the “Securities Trading Policy”) and all policies and procedures referenced therein that pertain to my role as of this date. I further hereby certify that I will continue to comply with the Securities Trading Policy and procedures of Gemini in all respects going forward. If I am an employee of Gemini, I acknowledge that the Securities Trading Policy is a statement of policies and procedures and does not, in any way, constitute an employment contract or an assurance of continued employment. Signature: _______________________ Name: Title: Date: Comments: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SUBSIDIARIES OF GEMINI SPACE STATION, INC.*</w:t>
      </w:r>
    </w:p>
    <w:p>
      <w:pPr>
        <w:pStyle w:val="TextBody"/>
        <w:bidi w:val="0"/>
        <w:spacing w:before="0" w:after="0"/>
        <w:jc w:val="center"/>
        <w:rPr/>
      </w:pPr>
      <w:r>
        <w:rPr/>
      </w:r>
    </w:p>
    <w:tbl>
      <w:tblPr>
        <w:tblW w:w="4964" w:type="dxa"/>
        <w:jc w:val="left"/>
        <w:tblInd w:w="0" w:type="dxa"/>
        <w:tblLayout w:type="fixed"/>
        <w:tblCellMar>
          <w:top w:w="28" w:type="dxa"/>
          <w:left w:w="28" w:type="dxa"/>
          <w:bottom w:w="28" w:type="dxa"/>
          <w:right w:w="28" w:type="dxa"/>
        </w:tblCellMar>
      </w:tblPr>
      <w:tblGrid>
        <w:gridCol w:w="902"/>
        <w:gridCol w:w="792"/>
        <w:gridCol w:w="796"/>
        <w:gridCol w:w="724"/>
        <w:gridCol w:w="724"/>
        <w:gridCol w:w="1026"/>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Subsidiary name</w:t>
            </w:r>
          </w:p>
        </w:tc>
        <w:tc>
          <w:tcPr>
            <w:tcW w:w="24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Jurisdiction of incorporation</w:t>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Gemini Constellation, LLC</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Delaware, United States</w:t>
            </w:r>
          </w:p>
        </w:tc>
      </w:tr>
      <w:tr>
        <w:trPr/>
        <w:tc>
          <w:tcPr>
            <w:tcW w:w="24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Gemini Frontier Fund, LLC</w:t>
            </w:r>
          </w:p>
        </w:tc>
        <w:tc>
          <w:tcPr>
            <w:tcW w:w="24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Delaware, United States</w:t>
            </w:r>
          </w:p>
        </w:tc>
      </w:tr>
      <w:tr>
        <w:trPr/>
        <w:tc>
          <w:tcPr>
            <w:tcW w:w="24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Gemini IP, LLC</w:t>
            </w:r>
          </w:p>
        </w:tc>
        <w:tc>
          <w:tcPr>
            <w:tcW w:w="24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Delaware, United States</w:t>
            </w:r>
          </w:p>
        </w:tc>
      </w:tr>
      <w:tr>
        <w:trPr/>
        <w:tc>
          <w:tcPr>
            <w:tcW w:w="24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Gemini Moonbase, LLC</w:t>
            </w:r>
          </w:p>
        </w:tc>
        <w:tc>
          <w:tcPr>
            <w:tcW w:w="24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United States</w:t>
            </w:r>
          </w:p>
        </w:tc>
      </w:tr>
      <w:tr>
        <w:trPr/>
        <w:tc>
          <w:tcPr>
            <w:tcW w:w="24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Gemini Space Station, LLC</w:t>
            </w:r>
          </w:p>
        </w:tc>
        <w:tc>
          <w:tcPr>
            <w:tcW w:w="24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Nevada, United States</w:t>
            </w:r>
          </w:p>
        </w:tc>
      </w:tr>
      <w:tr>
        <w:trPr/>
        <w:tc>
          <w:tcPr>
            <w:tcW w:w="24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Gemini Spaceship, LLC</w:t>
            </w:r>
          </w:p>
        </w:tc>
        <w:tc>
          <w:tcPr>
            <w:tcW w:w="24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Delaware, United States</w:t>
            </w:r>
          </w:p>
        </w:tc>
      </w:tr>
      <w:tr>
        <w:trPr/>
        <w:tc>
          <w:tcPr>
            <w:tcW w:w="24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Gemini Trust Company, LLC</w:t>
            </w:r>
          </w:p>
        </w:tc>
        <w:tc>
          <w:tcPr>
            <w:tcW w:w="24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New York, United States</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Item 601(b)(21)(ii) of Regulation S-K, the names of other subsidiaries of Gemini Space Station, Inc. are omitted because, considered in the aggregate, they would not constitute a significant subsidiary as of the end of the year covered by this report.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333333"/>
          <w:sz w:val="22"/>
        </w:rPr>
      </w:pPr>
      <w:r>
        <w:rPr>
          <w:rFonts w:ascii="Times New Roman;serif" w:hAnsi="Times New Roman;serif"/>
          <w:b/>
          <w:color w:val="333333"/>
          <w:sz w:val="22"/>
        </w:rPr>
        <w:t>Exhibit 23.1</w:t>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175260"/>
                <wp:effectExtent l="0" t="0" r="0" b="0"/>
                <wp:wrapNone/>
                <wp:docPr id="462" name="Frame4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98" w:before="120" w:after="12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lineRule="auto" w:line="398" w:before="120" w:after="120"/>
        <w:jc w:val="left"/>
        <w:rPr>
          <w:rFonts w:ascii="Times New Roman;serif" w:hAnsi="Times New Roman;serif"/>
          <w:b w:val="false"/>
          <w:color w:val="000000"/>
          <w:sz w:val="22"/>
        </w:rPr>
      </w:pPr>
      <w:r>
        <w:rPr>
          <w:rFonts w:ascii="Times New Roman;serif" w:hAnsi="Times New Roman;serif"/>
          <w:b w:val="false"/>
          <w:color w:val="000000"/>
          <w:sz w:val="22"/>
        </w:rPr>
        <w:t>We consent to the incorporation by reference in Registration Statement Nos. 333-290199, 333-290993 and 333-293598 on Form S-8 of our report dated March 31, 2026, relating to the financial statements of Gemini Space Station, Inc. and subsidiaries (the “Company”) appearing in this Annual Report on Form 10-K for the year ended December 31, 2025.</w:t>
      </w:r>
    </w:p>
    <w:p>
      <w:pPr>
        <w:pStyle w:val="TextBody"/>
        <w:bidi w:val="0"/>
        <w:spacing w:before="0" w:after="0"/>
        <w:jc w:val="left"/>
        <w:rPr/>
      </w:pPr>
      <w:r>
        <w:rPr/>
      </w:r>
    </w:p>
    <w:p>
      <w:pPr>
        <w:pStyle w:val="TextBody"/>
        <w:bidi w:val="0"/>
        <w:spacing w:lineRule="auto" w:line="398" w:before="0" w:after="0"/>
        <w:jc w:val="left"/>
        <w:rPr>
          <w:rFonts w:ascii="Times New Roman;serif" w:hAnsi="Times New Roman;serif"/>
          <w:b w:val="false"/>
          <w:color w:val="000000"/>
          <w:sz w:val="22"/>
        </w:rPr>
      </w:pPr>
      <w:r>
        <w:rPr>
          <w:rFonts w:ascii="Times New Roman;serif" w:hAnsi="Times New Roman;serif"/>
          <w:b w:val="false"/>
          <w:color w:val="000000"/>
          <w:sz w:val="22"/>
        </w:rPr>
        <w:t>/s/ Deloitte &amp; Touche LLP</w:t>
      </w:r>
    </w:p>
    <w:p>
      <w:pPr>
        <w:pStyle w:val="TextBody"/>
        <w:bidi w:val="0"/>
        <w:spacing w:lineRule="auto" w:line="398" w:before="0" w:after="0"/>
        <w:jc w:val="left"/>
        <w:rPr>
          <w:rFonts w:ascii="Times New Roman;serif" w:hAnsi="Times New Roman;serif"/>
          <w:b w:val="false"/>
          <w:color w:val="000000"/>
          <w:sz w:val="22"/>
        </w:rPr>
      </w:pPr>
      <w:r>
        <w:rPr>
          <w:rFonts w:ascii="Times New Roman;serif" w:hAnsi="Times New Roman;serif"/>
          <w:b w:val="false"/>
          <w:color w:val="000000"/>
          <w:sz w:val="22"/>
        </w:rPr>
        <w:br/>
        <w:t>New York, New York</w:t>
        <w:br/>
        <w:t>March 31, 2026</w:t>
      </w:r>
    </w:p>
    <w:p>
      <w:pPr>
        <w:pStyle w:val="TextBody"/>
        <w:bidi w:val="0"/>
        <w:spacing w:before="120" w:after="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175260"/>
                <wp:effectExtent l="0" t="0" r="0" b="0"/>
                <wp:wrapNone/>
                <wp:docPr id="463" name="Frame4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RULE 13a-14(a) OR 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Tyler Winklevoss,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Gemini Space Station,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b.[Reserved];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Date: March 31, 2026                   By: </w:t>
      </w:r>
      <w:r>
        <w:rPr>
          <w:rFonts w:ascii="Times New Roman;serif" w:hAnsi="Times New Roman;serif"/>
          <w:b w:val="false"/>
          <w:color w:val="000000"/>
          <w:sz w:val="20"/>
          <w:u w:val="single"/>
        </w:rPr>
        <w:t xml:space="preserve">/s/ Tyler Winklevoss </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Tyler Winklevoss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Co-Founder, Chief Executive Officer and Director</w:t>
      </w:r>
    </w:p>
    <w:p>
      <w:pPr>
        <w:pStyle w:val="TextBody"/>
        <w:bidi w:val="0"/>
        <w:spacing w:lineRule="auto" w:line="288"/>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175260"/>
                <wp:effectExtent l="0" t="0" r="0" b="0"/>
                <wp:wrapNone/>
                <wp:docPr id="464" name="Frame4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RULE 13a-14(a) OR 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Danijela Stojanovic,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Gemini Space Station,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b.[Reserved];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Date: March 31, 2026                       By: </w:t>
      </w:r>
      <w:r>
        <w:rPr>
          <w:rFonts w:ascii="Times New Roman;serif" w:hAnsi="Times New Roman;serif"/>
          <w:b w:val="false"/>
          <w:color w:val="000000"/>
          <w:sz w:val="20"/>
          <w:u w:val="single"/>
        </w:rPr>
        <w:t xml:space="preserve">/s/ Danijela Stojanovic </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Danijela Stojanovic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175260"/>
                <wp:effectExtent l="0" t="0" r="0" b="0"/>
                <wp:wrapNone/>
                <wp:docPr id="465" name="Frame4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Gemini Space Station, Inc., a Nevada corporation (the “Company”), for the year ended December 31, 2025, as filed with the Securities and Exchange Commission on the date hereof (the “Report”), Tyler Winklevoss, Chief Executive Officer of the Company, hereby certifies, pursuant to 18 U.S.C. Section 1350, as adopted pursuant to Section 906 of the Sarbanes-Oxley Act of 2002, that, to the best of his knowledge: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Date: March 31, 2026          By: </w:t>
      </w:r>
      <w:r>
        <w:rPr>
          <w:rFonts w:ascii="Times New Roman;serif" w:hAnsi="Times New Roman;serif"/>
          <w:b w:val="false"/>
          <w:color w:val="000000"/>
          <w:sz w:val="20"/>
          <w:u w:val="single"/>
        </w:rPr>
        <w:t xml:space="preserve">/s/ Tyler Winklevoss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Tyler Winklevoss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Co-Founder, Chief Executive Officer and Director</w:t>
      </w:r>
    </w:p>
    <w:p>
      <w:pPr>
        <w:pStyle w:val="TextBody"/>
        <w:bidi w:val="0"/>
        <w:spacing w:lineRule="auto" w:line="288"/>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175260"/>
                <wp:effectExtent l="0" t="0" r="0" b="0"/>
                <wp:wrapNone/>
                <wp:docPr id="466" name="Frame4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Gemini Space Station, Inc., a Nevada corporation (the “Company”), for the year ended December 31, 2025, as filed with the Securities and Exchange Commission on the date hereof (the “Report”), Danijela Stojanovic Chief Financial Officer of the Company, hereby certifies, pursuant to 18 U.S.C. Section 1350, as adopted pursuant to Section 906 of the Sarbanes-Oxley Act of 2002, that, to the best of his knowledge: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Date: March 31, 2026                       By: </w:t>
      </w:r>
      <w:r>
        <w:rPr>
          <w:rFonts w:ascii="Times New Roman;serif" w:hAnsi="Times New Roman;serif"/>
          <w:b w:val="false"/>
          <w:color w:val="000000"/>
          <w:sz w:val="20"/>
          <w:u w:val="single"/>
        </w:rPr>
        <w:t xml:space="preserve">/s/ Danijela Stojanovic </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Danijela Stojanovic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p>
      <w:pPr>
        <w:pStyle w:val="TextBody"/>
        <w:bidi w:val="0"/>
        <w:jc w:val="both"/>
        <w:rPr/>
      </w:pPr>
      <w:r>
        <w:rPr/>
      </w:r>
    </w:p>
    <w:p>
      <w:pPr>
        <w:pStyle w:val="TextBody"/>
        <w:bidi w:val="0"/>
        <w:spacing w:before="0" w:after="0"/>
        <w:jc w:val="center"/>
        <w:rPr/>
      </w:pPr>
      <w:bookmarkStart w:id="5" w:name="a971-postxipoclawbackpol.htm"/>
      <w:bookmarkStart w:id="6" w:name="ksa971postxipoclawbackpol"/>
      <w:bookmarkEnd w:id="5"/>
      <w:bookmarkEnd w:id="6"/>
      <w:r>
        <w:rPr/>
        <w:drawing>
          <wp:inline distT="0" distB="0" distL="0" distR="0">
            <wp:extent cx="10048875" cy="13001625"/>
            <wp:effectExtent l="0" t="0" r="0" b="0"/>
            <wp:docPr id="46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26"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175260"/>
                <wp:effectExtent l="0" t="0" r="0" b="0"/>
                <wp:wrapNone/>
                <wp:docPr id="468" name="Frame4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Introduction The Board of Directors (the “Board”) of Gemini Space Station, Inc., a Nevada Corporation (the “Company”), has determined that it is appropriate for the Company to adopt this Clawback Policy (the “Policy”) to be applied to the Executive Officers of the Company and adopts this Policy to be effective as of the Effective Date. 2. Definitions For purposes of this Policy, the following definitions shall apply: a) “Company Group” means the Company and each of its Subsidiaries, as applicable. b) “Committee” means the Board or a committee of one or more Board members appointed by the Board to administer the Policy. c) “Effective Date” means the effective date of the Company’s initial public offering pursuant to a registration statement filed with the SEC, as a result of or following which the Company shall have a class of securities listed on the Nasdaq or other national securities exchange. d) “Covered Compensation” means any Performance-Based Compensation granted, vested, or paid to a person who served as an Executive Officer at any time during the performance period for the Performance-Based Compensation and that was Received (i) after the person became an Executive Officer and (iii) at a time that the Company had a class of securities listed on a national securities exchange or a national securities association. e) “Erroneously Awarded Compensation” 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shareholder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shareholder return upon which the Covered Compensation was granted, vested, or paid and the Committee shall maintain documentation of such determination and provide such documentation to the Nasdaq.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27"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“Exchange Act” means the U.S. Securities Exchange Act of 1934. g) “Executive Officer” means each “officer” of the Company as defined under Rule 16a-1(f) under Section 16 of the Exchange Act, which shall be deemed to include any individuals identified by the Company as Executive Officers pursuant to Item 401(b) of Regulation S-K under the Exchange Act. Both current and former Executive Officers are subject to the Policy in accordance with its terms. h) “Financial Reporting Measure” means: (i) any measure that is determined and presented in accordance with the accounting principles used in preparing the Company’s financial statements and any measures derived wholly or in part from such measures and may consist of GAAP or non-GAAP financial measures (as defined under Regulation G of the Exchange Act and Item 10 of Regulation S-K under the Exchange Act); (ii) stock price; or (iii) total shareholder return. Financial Reporting Measures may or may not be filed with the SEC and may be presented outside the Company’s financial statements, such as in Managements’ Discussion and Analysis of Financial Conditions and Result of Operations or in the performance graph required under Item 201(e) of Regulation S-K under the Exchange Act. i) “Home Country” means the Company’s jurisdiction of incorporation. j) “Performance-Based Compensation” means any compensation that is granted, earned, or vested based wholly or in part upon the attainment of a Financial Reporting Measure. k) “Nasdaq” means the Nasdaq Stock Market. l) “Received”: Performance-Based Compensation is deemed “Received” in the Company’s fiscal period during which the Financial Reporting Measure specified in or otherwise relating to the Performance-Based Compensation award is attained, even if the grant, vesting, or payment of the Performance-Based Compensation occurs after the end of that period. m) “Restatement” 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 financial statements (commonly referred to as a “Big R” restatement) or (ii) to correct an error in previously issued financial statements that is not material to the previously issued financial statements but that would result in a material misstatement if the error were corrected in the current period or left uncorrected in the current period (commonly referred to as a “little r” restatement). Changes to the Company’s financial statements that do not represent error corrections under the then-current relevant accounting standards will not constitute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28"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Restatements. Recovery of any Erroneously Awarded Compensation under the Policy is not dependent on fraud or misconduct by any person in connection with the Restatement. n) “Restatement Lookback Period” 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Recovery of any Erroneously Awarded Compensation under the Policy is not dependent on if or when the Restatement is actually filed. o) “SEC” means the U.S. Securities and Exchange Commission. p) “Subsidiary” means any domestic or foreign corporation, partnership, association, joint stock company, joint venture, trust, or unincorporated organization “affiliated” with the Company, that is, directly or indirectly, through one or more intermediaries, “controlling”, “controlled by” or “under common control with”, the Company. “Control” for this purpose means the possession, direct or indirect, of the power to direct or cause the direction of the management and policies of such person, whether through the ownership of voting securities, contract, or otherwise. 3. Recoupment of Erroneously Awarded Compensation In the event of a Restatement, any Erroneously Awarded Compensation Received during the Restatement Lookback Period prior to the Restatement (a) that is then-outstanding but has not yet been paid, shall be automatically and immediately forfeited and/or repaid, and (b) that has been paid to any person, shall be subject to reasonably prompt forfeiture and/or repayment to the Company Group in accordance with Section 4 of this Policy. The Committee must pursue (and shall not have the discretion to waive) the forfeiture and/or repayment of such Erroneously Awarded Compensation in accordance with Section 4 of this Policy, except as provided below. Notwithstanding the foregoing, the Committee (or, if the Committee is not a committee of the Board responsible for the Company’s executive compensation decisions and composed entirely of independent directors, a majority of the independent directors serving on the Board) may determine not to pursue the forfeiture and/or recovery of Erroneously Awarded Compensation from any person if the Committee determines that such forfeiture and/or recovery would be impracticable due to any of the following circumstances: (i) the direct expense paid to a third party (for example, reasonable legal expenses and consulting fees) to assist in enforcing the Policy would exceed the amount to be recovered (following reasonable attempts by the Company Group to recover such Erroneously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29"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Awarded Compensation, the documentation of such attempts, and the provision of such documentation to the Nasdaq); (ii) pursuing such recovery would violate the Company’s Home Country laws adopted prior to November 28, 2022 (provided that the Company obtains an opinion of Home Country counsel acceptable to the Nasdaq that recovery would result in such a violation and provides such opinion to the Nasdaq); or (iii) recovery would likely cause any otherwise tax-qualified retirement plan, under which benefits are broadly available to employees of Company Group, to fail to meet the requirements of 26 U.S.C. 401(a)(13) or 26 U.S.C. 411(a) and regulations thereunder. 4. Means of Repayment In the event that the Committee determines that any person shall forfeit and/or repay any Erroneously Awarded Compensation, the Committee shall provide written notice to such person by email or certified mail to the physical address on file with the Company Group for such person, and the person shall satisfy such forfeiture and/or repayment in a manner and on such terms as required by the Committee, and the Company Group shall be entitled to: (i) require the forfeiture of any award granted by the Company Group to the person, (ii) take any and all necessary actions to reasonably promptly recoup the repayment amount from the person, in each case, to the fullest extent permitted under applicable law, including without limitation, Section 409A of the U.S. Internal Revenue Code and the regulations and guidance thereunder, or (iii) set off the forfeiture and/or repayment amount against any amount owed to the person by the Company Group. If the Committee does not specify a forfeiture and/or repayment timing in the written notice described above, the applicable person shall be required to forfeit and/or repay the Erroneously Awarded Compensation to the Company Group by wire, cash, or cashier’s check no later than thirty (30) days after receipt of such notice. 5. No Indemnification No person shall be indemnified, insured, or reimbursed by the Company Group in respect of any loss of compensation by such person in accordance with this Policy, nor shall any person receive any advancement of expenses for disputes related to any loss of compensation by such person in accordance with this Policy, and no person shall be paid or reimbursed by the Company Group for any premiums paid by such person for any third-party insurance policy covering potential recovery obligations under this Policy. For this purpose, “indemnification” includes any modification to current compensation arrangements or other means that would amount to de facto indemnification (for example, providing the person a new cash award which would be cancelled to effect the recovery of any Erroneously Awarded Compensation). 6. Miscellaneous This Policy generally will be administered and interpreted by the Committee, provided that the Board may, from time to time, exercise discretion to administer and interpret this Policy, in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30"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case, all references herein to “Committee” shall be deemed to refer to the Board. Any determination by the Committee with respect to this Policy shall be final, conclusive, and binding on all interested parties. Any discretionary determinations of the Committee under this Policy, if any, need not be uniform with respect to all persons, and may be made selectively amongst persons, whether or not such persons are similarly situated. This Policy is intended to satisfy the requirements of Section 954 of the Dodd-Frank Wall Street Reform and Consumer Protection Act, as it may be amended from time to time, and any related rules or regulations promulgated by the SEC or the Nasdaq, including any additional or new requirements that become effective after the Effective Date, which upon effectiveness shall be deemed to automatically amend this Policy to the extent necessary to comply with such additional or new requirements. 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Recoupment of Erroneously Awarded Compensation under this Policy is not dependent upon the Company Group satisfying any conditions in this Policy, including any requirements to provide applicable documentation to the Nasdaq. The rights of the Company Group under this Policy to seek forfeiture or reimbursement are in addition to, and not in lieu of, any rights of recoupment, or remedies, or rights other than recoupment, that may be available to the Company Group pursuant to the terms of any law, government regulation, or stock exchange listing requirement or any other policy, code of conduct, employee handbook, employment agreement, equity award agreement, or other plan or agreement of the Company Group. 8. Amendment and Termination To the extent permitted by, and in a manner consistent with applicable law, including SEC and Nasdaq rules, the Committee may terminate, suspend, or amend this Policy at any time in its discretion. 9. Successors This Policy shall be binding and enforceable against all persons and their respective beneficiaries, heirs, executors, administrators, or other legal representatives with respect to any Covered Compensation granted, vested, or paid to or administered by such persons or entities.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Image31"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GEMINI SPACE STATION, INC. CLAWBACK POLICY ACKNOWLEDGMENT, CONSENT AND AGREEMENT I acknowledge that I have received and reviewed a copy of the Gemini Space Station, Inc. Clawback Policy (as may be amended from time to time, the “Policy”) and I have been given an opportunity to ask questions about the Policy and review it with my counsel. I knowingly, voluntarily, and irrevocably consent to and agree to be bound by and subject to the Policy’s terms and conditions, including that I will forfeit and/or return any Erroneously Awarded Compensation that is required to be repaid in accordance with the Policy. I further acknowledge, understand, and agree that (i) the compensation that I receive, have received, or may become entitled to receive from the Company Group, is subject to the Policy, and the Policy may affect such compensation and (ii) I have no right to indemnification, insurance payments, or other reimbursement by or from the Company Group for any compensation that is subject to forfeiture and/or recoupment under the Policy. Capitalized terms used but not defined herein have the meanings set forth in the Policy. Signed: _________________________________________ Print Name: _________________________________________ Date: _________________________________________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55592/000205559225000009/exhibit21mergeragreementas.htm" TargetMode="External"/><Relationship Id="rId4" Type="http://schemas.openxmlformats.org/officeDocument/2006/relationships/hyperlink" Target="https://www.sec.gov/Archives/edgar/data/2055592/000205559225000009/exhibit22mergeragreementbl.htm" TargetMode="External"/><Relationship Id="rId5" Type="http://schemas.openxmlformats.org/officeDocument/2006/relationships/hyperlink" Target="https://www.sec.gov/Archives/edgar/data/2055592/000205559225000009/exhibit23mergeragreementgs.htm" TargetMode="External"/><Relationship Id="rId6" Type="http://schemas.openxmlformats.org/officeDocument/2006/relationships/hyperlink" Target="https://www.sec.gov/Archives/edgar/data/2055592/000110465925090073/tm255912d37_ex3-1.htm" TargetMode="External"/><Relationship Id="rId7" Type="http://schemas.openxmlformats.org/officeDocument/2006/relationships/hyperlink" Target="https://www.sec.gov/Archives/edgar/data/2055592/000110465925090073/tm255912d37_ex3-2.htm" TargetMode="External"/><Relationship Id="rId8" Type="http://schemas.openxmlformats.org/officeDocument/2006/relationships/hyperlink" Target="https://www.sec.gov/Archives/edgar/data/2055592/000110465925079323/tm255912d13_ex4-1.htm" TargetMode="External"/><Relationship Id="rId9" Type="http://schemas.openxmlformats.org/officeDocument/2006/relationships/hyperlink" Target="https://www.sec.gov/Archives/edgar/data/2055592/000205559225000009/exhibit42gemini-regrightsa.htm" TargetMode="External"/><Relationship Id="rId10" Type="http://schemas.openxmlformats.org/officeDocument/2006/relationships/hyperlink" Target="https://www.sec.gov/Archives/edgar/data/2055592/000205559225000009/exhibit101gssllc-thirdarll.htm" TargetMode="External"/><Relationship Id="rId11" Type="http://schemas.openxmlformats.org/officeDocument/2006/relationships/hyperlink" Target="https://www.sec.gov/Archives/edgar/data/2055592/000110465925079323/tm255912d13_ex10-3.htm" TargetMode="External"/><Relationship Id="rId12" Type="http://schemas.openxmlformats.org/officeDocument/2006/relationships/hyperlink" Target="https://www.sec.gov/Archives/edgar/data/2055592/000110465925081463/tm255912d16_ex10-4.htm" TargetMode="External"/><Relationship Id="rId13" Type="http://schemas.openxmlformats.org/officeDocument/2006/relationships/hyperlink" Target="https://www.sec.gov/Archives/edgar/data/2055592/000110465925079323/tm255912d13_ex10-5.htm" TargetMode="External"/><Relationship Id="rId14" Type="http://schemas.openxmlformats.org/officeDocument/2006/relationships/hyperlink" Target="https://www.sec.gov/Archives/edgar/data/2055592/000110465925079323/tm255912d13_ex10-6.htm" TargetMode="External"/><Relationship Id="rId15" Type="http://schemas.openxmlformats.org/officeDocument/2006/relationships/hyperlink" Target="https://www.sec.gov/Archives/edgar/data/2055592/000110465925079323/tm255912d13_ex10-7.htm" TargetMode="External"/><Relationship Id="rId16" Type="http://schemas.openxmlformats.org/officeDocument/2006/relationships/hyperlink" Target="https://www.sec.gov/Archives/edgar/data/2055592/000110465925079323/tm255912d13_ex10-8.htm" TargetMode="External"/><Relationship Id="rId17" Type="http://schemas.openxmlformats.org/officeDocument/2006/relationships/hyperlink" Target="https://www.sec.gov/Archives/edgar/data/2055592/000110465925079323/tm255912d13_ex10-9.htm" TargetMode="External"/><Relationship Id="rId18" Type="http://schemas.openxmlformats.org/officeDocument/2006/relationships/hyperlink" Target="https://www.sec.gov/Archives/edgar/data/2055592/000110465925079323/tm255912d13_ex10-10.htm" TargetMode="External"/><Relationship Id="rId19" Type="http://schemas.openxmlformats.org/officeDocument/2006/relationships/hyperlink" Target="https://www.sec.gov/Archives/edgar/data/2055592/000110465925079323/tm255912d13_ex10-11.htm" TargetMode="External"/><Relationship Id="rId20" Type="http://schemas.openxmlformats.org/officeDocument/2006/relationships/hyperlink" Target="https://www.sec.gov/Archives/edgar/data/2055592/000110465925079323/tm255912d13_ex10-12.htm" TargetMode="External"/><Relationship Id="rId21" Type="http://schemas.openxmlformats.org/officeDocument/2006/relationships/hyperlink" Target="https://www.sec.gov/Archives/edgar/data/2055592/000110465925085963/tm255912d18_ex10-13.htm" TargetMode="External"/><Relationship Id="rId22" Type="http://schemas.openxmlformats.org/officeDocument/2006/relationships/hyperlink" Target="https://www.sec.gov/Archives/edgar/data/2055592/000110465925085963/tm255912d18_ex10-14.htm" TargetMode="External"/><Relationship Id="rId23" Type="http://schemas.openxmlformats.org/officeDocument/2006/relationships/hyperlink" Target="https://www.sec.gov/Archives/edgar/data/2055592/000110465925079323/tm255912d13_ex10-15.htm" TargetMode="External"/><Relationship Id="rId24" Type="http://schemas.openxmlformats.org/officeDocument/2006/relationships/hyperlink" Target="https://www.sec.gov/Archives/edgar/data/2055592/000110465925088432/tm255912d21_ex10-16.htm" TargetMode="External"/><Relationship Id="rId25" Type="http://schemas.openxmlformats.org/officeDocument/2006/relationships/image" Target="media/image2.jpeg"/><Relationship Id="rId26" Type="http://schemas.openxmlformats.org/officeDocument/2006/relationships/image" Target="media/image3.jpeg"/><Relationship Id="rId27" Type="http://schemas.openxmlformats.org/officeDocument/2006/relationships/image" Target="media/image4.jpeg"/><Relationship Id="rId28" Type="http://schemas.openxmlformats.org/officeDocument/2006/relationships/image" Target="media/image5.jpeg"/><Relationship Id="rId29" Type="http://schemas.openxmlformats.org/officeDocument/2006/relationships/image" Target="media/image6.jpeg"/><Relationship Id="rId30" Type="http://schemas.openxmlformats.org/officeDocument/2006/relationships/image" Target="media/image7.jpeg"/><Relationship Id="rId31" Type="http://schemas.openxmlformats.org/officeDocument/2006/relationships/image" Target="media/image8.jpeg"/><Relationship Id="rId32" Type="http://schemas.openxmlformats.org/officeDocument/2006/relationships/image" Target="media/image9.jpeg"/><Relationship Id="rId33" Type="http://schemas.openxmlformats.org/officeDocument/2006/relationships/image" Target="media/image10.jpeg"/><Relationship Id="rId34" Type="http://schemas.openxmlformats.org/officeDocument/2006/relationships/image" Target="media/image11.jpeg"/><Relationship Id="rId35" Type="http://schemas.openxmlformats.org/officeDocument/2006/relationships/image" Target="media/image12.jpeg"/><Relationship Id="rId36" Type="http://schemas.openxmlformats.org/officeDocument/2006/relationships/image" Target="media/image13.jpeg"/><Relationship Id="rId37" Type="http://schemas.openxmlformats.org/officeDocument/2006/relationships/image" Target="media/image14.jpeg"/><Relationship Id="rId38" Type="http://schemas.openxmlformats.org/officeDocument/2006/relationships/image" Target="media/image15.jpeg"/><Relationship Id="rId39" Type="http://schemas.openxmlformats.org/officeDocument/2006/relationships/image" Target="media/image16.jpeg"/><Relationship Id="rId40" Type="http://schemas.openxmlformats.org/officeDocument/2006/relationships/image" Target="media/image17.jpeg"/><Relationship Id="rId41" Type="http://schemas.openxmlformats.org/officeDocument/2006/relationships/image" Target="media/image18.jpeg"/><Relationship Id="rId42" Type="http://schemas.openxmlformats.org/officeDocument/2006/relationships/image" Target="media/image19.jpeg"/><Relationship Id="rId43" Type="http://schemas.openxmlformats.org/officeDocument/2006/relationships/image" Target="media/image20.jpeg"/><Relationship Id="rId44" Type="http://schemas.openxmlformats.org/officeDocument/2006/relationships/image" Target="media/image21.jpeg"/><Relationship Id="rId45" Type="http://schemas.openxmlformats.org/officeDocument/2006/relationships/image" Target="media/image22.jpeg"/><Relationship Id="rId46" Type="http://schemas.openxmlformats.org/officeDocument/2006/relationships/image" Target="media/image23.jpeg"/><Relationship Id="rId47" Type="http://schemas.openxmlformats.org/officeDocument/2006/relationships/image" Target="media/image24.jpeg"/><Relationship Id="rId48" Type="http://schemas.openxmlformats.org/officeDocument/2006/relationships/image" Target="media/image25.jpeg"/><Relationship Id="rId49" Type="http://schemas.openxmlformats.org/officeDocument/2006/relationships/image" Target="media/image26.jpeg"/><Relationship Id="rId50" Type="http://schemas.openxmlformats.org/officeDocument/2006/relationships/image" Target="media/image27.jpeg"/><Relationship Id="rId51" Type="http://schemas.openxmlformats.org/officeDocument/2006/relationships/image" Target="media/image28.jpeg"/><Relationship Id="rId52" Type="http://schemas.openxmlformats.org/officeDocument/2006/relationships/image" Target="media/image29.jpeg"/><Relationship Id="rId53" Type="http://schemas.openxmlformats.org/officeDocument/2006/relationships/image" Target="media/image30.jpeg"/><Relationship Id="rId54" Type="http://schemas.openxmlformats.org/officeDocument/2006/relationships/image" Target="media/image31.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144421</Words>
  <Characters>806342</Characters>
  <CharactersWithSpaces>946353</CharactersWithSpaces>
  <Paragraphs>8027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a971-postxipoclawbackpol</dc:title>
</cp:coreProperties>
</file>