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6"/>
        </w:rPr>
        <w:t>Commission file number</w:t>
      </w:r>
      <w:r>
        <w:rPr>
          <w:color w:val="000000"/>
          <w:shd w:fill="FFFFFF" w:val="clear"/>
        </w:rPr>
        <w:t xml:space="preserve"> </w:t>
      </w:r>
      <w:r>
        <w:rPr>
          <w:rFonts w:ascii="Times New Roman;serif" w:hAnsi="Times New Roman;serif"/>
          <w:b/>
          <w:color w:val="000000"/>
          <w:sz w:val="16"/>
          <w:shd w:fill="FFFFFF" w:val="clear"/>
        </w:rPr>
        <w:t>001-42836</w:t>
      </w:r>
    </w:p>
    <w:p>
      <w:pPr>
        <w:pStyle w:val="TextBody"/>
        <w:bidi w:val="0"/>
        <w:spacing w:lineRule="auto" w:line="417" w:before="0" w:after="0"/>
        <w:jc w:val="center"/>
        <w:rPr>
          <w:rFonts w:ascii="Times New Roman;serif" w:hAnsi="Times New Roman;serif"/>
          <w:b/>
          <w:color w:val="000000"/>
          <w:sz w:val="26"/>
        </w:rPr>
      </w:pPr>
      <w:r>
        <w:rPr>
          <w:rFonts w:ascii="Times New Roman;serif" w:hAnsi="Times New Roman;serif"/>
          <w:b/>
          <w:color w:val="000000"/>
          <w:sz w:val="26"/>
        </w:rPr>
        <w:t>______________________________</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Gemini Space Station,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417" w:before="0" w:after="120"/>
        <w:jc w:val="center"/>
        <w:rPr>
          <w:rFonts w:ascii="Times New Roman;serif" w:hAnsi="Times New Roman;serif"/>
          <w:b/>
          <w:color w:val="000000"/>
          <w:sz w:val="26"/>
        </w:rPr>
      </w:pPr>
      <w:r>
        <w:rPr>
          <w:rFonts w:ascii="Times New Roman;serif" w:hAnsi="Times New Roman;serif"/>
          <w:b/>
          <w:color w:val="000000"/>
          <w:sz w:val="26"/>
        </w:rPr>
        <w:t>______________________________</w:t>
      </w:r>
    </w:p>
    <w:tbl>
      <w:tblPr>
        <w:tblW w:w="8682" w:type="dxa"/>
        <w:jc w:val="left"/>
        <w:tblInd w:w="0" w:type="dxa"/>
        <w:tblLayout w:type="fixed"/>
        <w:tblCellMar>
          <w:top w:w="28" w:type="dxa"/>
          <w:left w:w="28" w:type="dxa"/>
          <w:bottom w:w="28" w:type="dxa"/>
          <w:right w:w="28" w:type="dxa"/>
        </w:tblCellMar>
      </w:tblPr>
      <w:tblGrid>
        <w:gridCol w:w="1799"/>
        <w:gridCol w:w="1581"/>
        <w:gridCol w:w="1585"/>
        <w:gridCol w:w="109"/>
        <w:gridCol w:w="109"/>
        <w:gridCol w:w="109"/>
        <w:gridCol w:w="992"/>
        <w:gridCol w:w="992"/>
        <w:gridCol w:w="1406"/>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Nevada</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33-3263417</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600 Third Avenue</w:t>
            </w:r>
            <w:r>
              <w:rPr>
                <w:rFonts w:ascii="Times New Roman;serif" w:hAnsi="Times New Roman;serif"/>
                <w:b w:val="false"/>
                <w:color w:val="000000"/>
                <w:sz w:val="20"/>
              </w:rPr>
              <w:t xml:space="preserve">, </w:t>
            </w:r>
            <w:r>
              <w:rPr>
                <w:rFonts w:ascii="Times New Roman;serif" w:hAnsi="Times New Roman;serif"/>
                <w:b/>
                <w:color w:val="000000"/>
                <w:sz w:val="20"/>
              </w:rPr>
              <w:t>2nd Floor</w:t>
            </w:r>
            <w:r>
              <w:rPr>
                <w:rFonts w:ascii="Times New Roman;serif" w:hAnsi="Times New Roman;serif"/>
                <w:b w:val="false"/>
                <w:color w:val="000000"/>
                <w:sz w:val="20"/>
              </w:rPr>
              <w:t xml:space="preserve">, </w:t>
            </w:r>
            <w:r>
              <w:rPr>
                <w:rFonts w:ascii="Times New Roman;serif" w:hAnsi="Times New Roman;serif"/>
                <w:b/>
                <w:color w:val="000000"/>
                <w:sz w:val="20"/>
              </w:rPr>
              <w:t>New York</w:t>
            </w:r>
            <w:r>
              <w:rPr>
                <w:rFonts w:ascii="Times New Roman;serif" w:hAnsi="Times New Roman;serif"/>
                <w:b w:val="false"/>
                <w:color w:val="000000"/>
                <w:sz w:val="20"/>
              </w:rPr>
              <w:t xml:space="preserve">, </w:t>
            </w:r>
            <w:r>
              <w:rPr>
                <w:rFonts w:ascii="Times New Roman;serif" w:hAnsi="Times New Roman;serif"/>
                <w:b/>
                <w:color w:val="000000"/>
                <w:sz w:val="20"/>
              </w:rPr>
              <w:t xml:space="preserve">NY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10016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8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(646) 751-4401</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10205" w:type="dxa"/>
        <w:jc w:val="left"/>
        <w:tblInd w:w="0" w:type="dxa"/>
        <w:tblLayout w:type="fixed"/>
        <w:tblCellMar>
          <w:top w:w="28" w:type="dxa"/>
          <w:left w:w="28" w:type="dxa"/>
          <w:bottom w:w="28" w:type="dxa"/>
          <w:right w:w="28" w:type="dxa"/>
        </w:tblCellMar>
      </w:tblPr>
      <w:tblGrid>
        <w:gridCol w:w="1310"/>
        <w:gridCol w:w="1076"/>
        <w:gridCol w:w="1089"/>
        <w:gridCol w:w="1242"/>
        <w:gridCol w:w="1242"/>
        <w:gridCol w:w="1246"/>
        <w:gridCol w:w="877"/>
        <w:gridCol w:w="877"/>
        <w:gridCol w:w="1246"/>
      </w:tblGrid>
      <w:tr>
        <w:trPr/>
        <w:tc>
          <w:tcPr>
            <w:tcW w:w="131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7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of $0.001 per share</w:t>
            </w:r>
          </w:p>
        </w:tc>
        <w:tc>
          <w:tcPr>
            <w:tcW w:w="3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GEMI</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2" w:type="dxa"/>
        <w:jc w:val="center"/>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09"/>
        <w:gridCol w:w="675"/>
        <w:gridCol w:w="675"/>
        <w:gridCol w:w="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 </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As of August 7, 2026, the registrant had outstanding 54,525,418 and 75,126,784 of shares of Class A and Class B common stock, respectively, each with a par value of $0.001.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use this address for receiving mail and correspondence to our principal executive office located in New York, 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9195" w:type="dxa"/>
        <w:jc w:val="left"/>
        <w:tblInd w:w="0" w:type="dxa"/>
        <w:tblLayout w:type="fixed"/>
        <w:tblCellMar>
          <w:top w:w="28" w:type="dxa"/>
          <w:left w:w="28" w:type="dxa"/>
          <w:bottom w:w="28" w:type="dxa"/>
          <w:right w:w="28" w:type="dxa"/>
        </w:tblCellMar>
      </w:tblPr>
      <w:tblGrid>
        <w:gridCol w:w="3127"/>
        <w:gridCol w:w="2744"/>
        <w:gridCol w:w="2753"/>
        <w:gridCol w:w="167"/>
        <w:gridCol w:w="167"/>
        <w:gridCol w:w="237"/>
      </w:tblGrid>
      <w:tr>
        <w:trPr/>
        <w:tc>
          <w:tcPr>
            <w:tcW w:w="312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
              <w:r>
                <w:rPr>
                  <w:rStyle w:val="InternetLink"/>
                  <w:rFonts w:ascii="Times New Roman;serif" w:hAnsi="Times New Roman;serif"/>
                  <w:b/>
                  <w:color w:val="0000FF"/>
                  <w:sz w:val="20"/>
                  <w:u w:val="single"/>
                </w:rPr>
                <w:t>Part I - 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
              <w:r>
                <w:rPr>
                  <w:rStyle w:val="InternetLink"/>
                  <w:rFonts w:ascii="Times New Roman;serif" w:hAnsi="Times New Roman;serif"/>
                  <w:b w:val="false"/>
                  <w:color w:val="0000FF"/>
                  <w:sz w:val="20"/>
                  <w:u w:val="single"/>
                </w:rPr>
                <w:t>Item 1.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1">
              <w:r>
                <w:rPr>
                  <w:rStyle w:val="InternetLink"/>
                  <w:rFonts w:ascii="Times New Roman;serif" w:hAnsi="Times New Roman;serif"/>
                  <w:b w:val="false"/>
                  <w:color w:val="0000FF"/>
                  <w:sz w:val="20"/>
                  <w:u w:val="single"/>
                </w:rPr>
                <w:t>4</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1">
              <w:r>
                <w:rPr>
                  <w:rStyle w:val="InternetLink"/>
                  <w:rFonts w:ascii="Times New Roman;serif" w:hAnsi="Times New Roman;serif"/>
                  <w:b w:val="false"/>
                  <w:color w:val="0000FF"/>
                  <w:sz w:val="20"/>
                  <w:u w:val="single"/>
                </w:rPr>
                <w:t>4</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7">
              <w:r>
                <w:rPr>
                  <w:rStyle w:val="InternetLink"/>
                  <w:rFonts w:ascii="Times New Roman;serif" w:hAnsi="Times New Roman;serif"/>
                  <w:b w:val="false"/>
                  <w:color w:val="0000FF"/>
                  <w:sz w:val="20"/>
                  <w:u w:val="singl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7">
              <w:r>
                <w:rPr>
                  <w:rStyle w:val="InternetLink"/>
                  <w:rFonts w:ascii="Times New Roman;serif" w:hAnsi="Times New Roman;serif"/>
                  <w:b w:val="false"/>
                  <w:color w:val="0000FF"/>
                  <w:sz w:val="20"/>
                  <w:u w:val="single"/>
                </w:rPr>
                <w:t>6</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43">
              <w:r>
                <w:rPr>
                  <w:rStyle w:val="InternetLink"/>
                  <w:rFonts w:ascii="Times New Roman;serif" w:hAnsi="Times New Roman;serif"/>
                  <w:b w:val="false"/>
                  <w:color w:val="0000FF"/>
                  <w:sz w:val="20"/>
                  <w:u w:val="single"/>
                </w:rPr>
                <w:t>Condensed Consolidated Statements of Changes in Convertible Preferred Units and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43">
              <w:r>
                <w:rPr>
                  <w:rStyle w:val="InternetLink"/>
                  <w:rFonts w:ascii="Times New Roman;serif" w:hAnsi="Times New Roman;serif"/>
                  <w:b w:val="false"/>
                  <w:color w:val="0000FF"/>
                  <w:sz w:val="20"/>
                  <w:u w:val="single"/>
                </w:rPr>
                <w:t>7</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52">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52">
              <w:r>
                <w:rPr>
                  <w:rStyle w:val="InternetLink"/>
                  <w:rFonts w:ascii="Times New Roman;serif" w:hAnsi="Times New Roman;serif"/>
                  <w:b w:val="false"/>
                  <w:color w:val="0000FF"/>
                  <w:sz w:val="20"/>
                  <w:u w:val="single"/>
                </w:rPr>
                <w:t>9</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58">
              <w:r>
                <w:rPr>
                  <w:rStyle w:val="InternetLink"/>
                  <w:rFonts w:ascii="Times New Roman;serif" w:hAnsi="Times New Roman;serif"/>
                  <w:b w:val="false"/>
                  <w:color w:val="000080"/>
                  <w:sz w:val="20"/>
                  <w:u w:val="single"/>
                </w:rPr>
                <w:t xml:space="preserve">Notes to </w:t>
              </w:r>
            </w:hyperlink>
            <w:r>
              <w:rPr>
                <w:rFonts w:ascii="Times New Roman;serif" w:hAnsi="Times New Roman;serif"/>
                <w:b w:val="false"/>
                <w:color w:val="0000FF"/>
                <w:sz w:val="20"/>
                <w:u w:val="single"/>
              </w:rPr>
              <w:t>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58">
              <w:r>
                <w:rPr>
                  <w:rStyle w:val="InternetLink"/>
                  <w:rFonts w:ascii="Times New Roman;serif" w:hAnsi="Times New Roman;serif"/>
                  <w:b w:val="false"/>
                  <w:color w:val="0000FF"/>
                  <w:sz w:val="20"/>
                  <w:u w:val="single"/>
                </w:rPr>
                <w:t>11</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27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271">
              <w:r>
                <w:rPr>
                  <w:rStyle w:val="InternetLink"/>
                  <w:rFonts w:ascii="Times New Roman;serif" w:hAnsi="Times New Roman;serif"/>
                  <w:b w:val="false"/>
                  <w:color w:val="0000FF"/>
                  <w:sz w:val="20"/>
                  <w:u w:val="single"/>
                </w:rPr>
                <w:t>47</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04">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04">
              <w:r>
                <w:rPr>
                  <w:rStyle w:val="InternetLink"/>
                  <w:rFonts w:ascii="Times New Roman;serif" w:hAnsi="Times New Roman;serif"/>
                  <w:b w:val="false"/>
                  <w:color w:val="0000FF"/>
                  <w:sz w:val="20"/>
                  <w:u w:val="single"/>
                </w:rPr>
                <w:t>69</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07">
              <w:r>
                <w:rPr>
                  <w:rStyle w:val="InternetLink"/>
                  <w:rFonts w:ascii="Times New Roman;serif" w:hAnsi="Times New Roman;serif"/>
                  <w:b w:val="false"/>
                  <w:color w:val="0000FF"/>
                  <w:sz w:val="20"/>
                  <w:u w:val="single"/>
                </w:rPr>
                <w:t>Item 4. 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07">
              <w:r>
                <w:rPr>
                  <w:rStyle w:val="InternetLink"/>
                  <w:rFonts w:ascii="Times New Roman;serif" w:hAnsi="Times New Roman;serif"/>
                  <w:b w:val="false"/>
                  <w:color w:val="0000FF"/>
                  <w:sz w:val="20"/>
                  <w:u w:val="single"/>
                </w:rPr>
                <w:t>70</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3">
              <w:r>
                <w:rPr>
                  <w:rStyle w:val="InternetLink"/>
                  <w:rFonts w:ascii="Times New Roman;serif" w:hAnsi="Times New Roman;serif"/>
                  <w:b/>
                  <w:color w:val="0000FF"/>
                  <w:sz w:val="20"/>
                  <w:u w:val="single"/>
                </w:rPr>
                <w:t>Part II -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3">
              <w:r>
                <w:rPr>
                  <w:rStyle w:val="InternetLink"/>
                  <w:rFonts w:ascii="Times New Roman;serif" w:hAnsi="Times New Roman;serif"/>
                  <w:b w:val="false"/>
                  <w:color w:val="0000FF"/>
                  <w:sz w:val="20"/>
                  <w:u w:val="single"/>
                </w:rPr>
                <w:t>Item 1. 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13">
              <w:r>
                <w:rPr>
                  <w:rStyle w:val="InternetLink"/>
                  <w:rFonts w:ascii="Times New Roman;serif" w:hAnsi="Times New Roman;serif"/>
                  <w:b w:val="false"/>
                  <w:color w:val="0000FF"/>
                  <w:sz w:val="20"/>
                  <w:u w:val="single"/>
                </w:rPr>
                <w:t>73</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6">
              <w:r>
                <w:rPr>
                  <w:rStyle w:val="InternetLink"/>
                  <w:rFonts w:ascii="Times New Roman;serif" w:hAnsi="Times New Roman;serif"/>
                  <w:b w:val="false"/>
                  <w:color w:val="0000FF"/>
                  <w:sz w:val="20"/>
                  <w:u w:val="single"/>
                </w:rPr>
                <w:t>Item 1A. 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16">
              <w:r>
                <w:rPr>
                  <w:rStyle w:val="InternetLink"/>
                  <w:rFonts w:ascii="Times New Roman;serif" w:hAnsi="Times New Roman;serif"/>
                  <w:b w:val="false"/>
                  <w:color w:val="0000FF"/>
                  <w:sz w:val="20"/>
                  <w:u w:val="single"/>
                </w:rPr>
                <w:t>73</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19">
              <w:r>
                <w:rPr>
                  <w:rStyle w:val="InternetLink"/>
                  <w:rFonts w:ascii="Times New Roman;serif" w:hAnsi="Times New Roman;serif"/>
                  <w:b w:val="false"/>
                  <w:color w:val="0000FF"/>
                  <w:sz w:val="20"/>
                  <w:u w:val="single"/>
                </w:rPr>
                <w:t>Item 2. Unregistered Sale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19">
              <w:r>
                <w:rPr>
                  <w:rStyle w:val="InternetLink"/>
                  <w:rFonts w:ascii="Times New Roman;serif" w:hAnsi="Times New Roman;serif"/>
                  <w:b w:val="false"/>
                  <w:color w:val="0000FF"/>
                  <w:sz w:val="20"/>
                  <w:u w:val="single"/>
                </w:rPr>
                <w:t>149</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22">
              <w:r>
                <w:rPr>
                  <w:rStyle w:val="InternetLink"/>
                  <w:rFonts w:ascii="Times New Roman;serif" w:hAnsi="Times New Roman;serif"/>
                  <w:b w:val="false"/>
                  <w:color w:val="0000FF"/>
                  <w:sz w:val="20"/>
                  <w:u w:val="single"/>
                </w:rPr>
                <w:t>Item 3. 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22">
              <w:r>
                <w:rPr>
                  <w:rStyle w:val="InternetLink"/>
                  <w:rFonts w:ascii="Times New Roman;serif" w:hAnsi="Times New Roman;serif"/>
                  <w:b w:val="false"/>
                  <w:color w:val="0000FF"/>
                  <w:sz w:val="20"/>
                  <w:u w:val="single"/>
                </w:rPr>
                <w:t>149</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25">
              <w:r>
                <w:rPr>
                  <w:rStyle w:val="InternetLink"/>
                  <w:rFonts w:ascii="Times New Roman;serif" w:hAnsi="Times New Roman;serif"/>
                  <w:b w:val="false"/>
                  <w:color w:val="0000FF"/>
                  <w:sz w:val="20"/>
                  <w:u w:val="single"/>
                </w:rPr>
                <w:t>Item 4. 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25">
              <w:r>
                <w:rPr>
                  <w:rStyle w:val="InternetLink"/>
                  <w:rFonts w:ascii="Times New Roman;serif" w:hAnsi="Times New Roman;serif"/>
                  <w:b w:val="false"/>
                  <w:color w:val="0000FF"/>
                  <w:sz w:val="20"/>
                  <w:u w:val="single"/>
                </w:rPr>
                <w:t>149</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28">
              <w:r>
                <w:rPr>
                  <w:rStyle w:val="InternetLink"/>
                  <w:rFonts w:ascii="Times New Roman;serif" w:hAnsi="Times New Roman;serif"/>
                  <w:b w:val="false"/>
                  <w:color w:val="0000FF"/>
                  <w:sz w:val="20"/>
                  <w:u w:val="single"/>
                </w:rPr>
                <w:t>Item 5.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28">
              <w:r>
                <w:rPr>
                  <w:rStyle w:val="InternetLink"/>
                  <w:rFonts w:ascii="Times New Roman;serif" w:hAnsi="Times New Roman;serif"/>
                  <w:b w:val="false"/>
                  <w:color w:val="0000FF"/>
                  <w:sz w:val="20"/>
                  <w:u w:val="single"/>
                </w:rPr>
                <w:t>149</w:t>
              </w:r>
            </w:hyperlink>
          </w:p>
        </w:tc>
      </w:tr>
      <w:tr>
        <w:trPr/>
        <w:tc>
          <w:tcPr>
            <w:tcW w:w="8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f118e29cc764f009862005db1c0e645_334">
              <w:r>
                <w:rPr>
                  <w:rStyle w:val="InternetLink"/>
                  <w:rFonts w:ascii="Times New Roman;serif" w:hAnsi="Times New Roman;serif"/>
                  <w:b w:val="false"/>
                  <w:color w:val="0000FF"/>
                  <w:sz w:val="20"/>
                  <w:u w:val="single"/>
                </w:rPr>
                <w:t>Item 6. 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34">
              <w:r>
                <w:rPr>
                  <w:rStyle w:val="InternetLink"/>
                  <w:rFonts w:ascii="Times New Roman;serif" w:hAnsi="Times New Roman;serif"/>
                  <w:b w:val="false"/>
                  <w:color w:val="0000FF"/>
                  <w:sz w:val="20"/>
                  <w:u w:val="single"/>
                </w:rPr>
                <w:t>150</w:t>
              </w:r>
            </w:hyperlink>
          </w:p>
        </w:tc>
      </w:tr>
      <w:tr>
        <w:trPr/>
        <w:tc>
          <w:tcPr>
            <w:tcW w:w="8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f118e29cc764f009862005db1c0e645_337">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118e29cc764f009862005db1c0e645_337">
              <w:r>
                <w:rPr>
                  <w:rStyle w:val="InternetLink"/>
                  <w:rFonts w:ascii="Times New Roman;serif" w:hAnsi="Times New Roman;serif"/>
                  <w:b w:val="false"/>
                  <w:color w:val="0000FF"/>
                  <w:sz w:val="20"/>
                  <w:u w:val="single"/>
                </w:rPr>
                <w:t>151</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reflect our current views with respect to, among other things, future events and our future business, operating results, financial condition, prospects, the impact of potential acquisitions and dispositions, and our strategy for growth.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Forward-looking statements contained in this Quarterly Report on Form 10-Q include, but are not limited to, statements about: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net revenue, operating expenses, and our ability to achieve and maintain future profitability;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anticipated trends, growth rates, and challenges in our business, the cryptoeconomy, and in the markets in which we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acceptance of our products and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objectives for future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further penetrate our existing user base and maintain and expand our user base;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develop new products and services and grow our business in response to changing technologies, user demand, and competitive pressures;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increased competition in our markets and our ability to compete effectively;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acquisitions of or investments in complementary companies, products, services, or technologies and our ability to successfully integrate such companies or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digital asset, and industry trends, projected growth, or trend analysis;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our liquidity, capital resources, indebtedness, financing arrangements, debt service obligations, collateral requirements, regulatory capital and reserve requirements, and our ability to obtain additional capital or financing on acceptable terms, or at all;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legal and regulatory proceedings, investigations, litigation, enforcement actions, and related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pending and future litigation, regulatory proceedings, enforcement actions, and changes in federal or state law, including the possibility that such matters or changes could affect whether we offer, or continue to offer, certain products or services, including event contracts;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in revenue, cost of revenue, operating expenses and expectations regarding these items;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statements regarding our future operations, financial condition, and prospects and business strategies.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These forward-looking statements speak only as of the date of this Quarterly Report on Form 10-Q and are subject to a number of known and unknown risks, uncertainties and assumptions, including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 cautionary statements contained in this section and elsewhere in this Quarterly Report on Form 10-Q.</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“Gemini,”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the “Corporation,” “we,” “our,” “us,” or similar terms refer to Gemini Space Station, Inc. and 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36"/>
        <w:gridCol w:w="2330"/>
        <w:gridCol w:w="2314"/>
        <w:gridCol w:w="196"/>
        <w:gridCol w:w="871"/>
        <w:gridCol w:w="109"/>
        <w:gridCol w:w="109"/>
        <w:gridCol w:w="109"/>
        <w:gridCol w:w="109"/>
        <w:gridCol w:w="196"/>
        <w:gridCol w:w="871"/>
        <w:gridCol w:w="155"/>
      </w:tblGrid>
      <w:tr>
        <w:trPr/>
        <w:tc>
          <w:tcPr>
            <w:tcW w:w="2836"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card receivables pledged,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1,606,251 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1,240,404 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22)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 1,000,000 shares authorized; 52,238 and 42,329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$0.001 per share; 100,000 shares authorized; 75,127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Preferred stock, par value $0.001 per share; </w:t>
            </w:r>
            <w:r>
              <w:rPr>
                <w:rFonts w:ascii="Times New Roman;serif" w:hAnsi="Times New Roman;serif"/>
                <w:b w:val="false"/>
                <w:color w:val="000000"/>
                <w:sz w:val="20"/>
              </w:rPr>
              <w:t xml:space="preserve">20,000 </w:t>
            </w:r>
            <w:r>
              <w:rPr>
                <w:rFonts w:ascii="Times New Roman;serif" w:hAnsi="Times New Roman;serif"/>
                <w:b w:val="false"/>
                <w:color w:val="000000"/>
                <w:sz w:val="18"/>
              </w:rPr>
              <w:t>shares authorized, no shares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1,303 and 284 shares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(2,043,253)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1"/>
        <w:gridCol w:w="813"/>
        <w:gridCol w:w="813"/>
        <w:gridCol w:w="813"/>
        <w:gridCol w:w="813"/>
        <w:gridCol w:w="813"/>
        <w:gridCol w:w="813"/>
        <w:gridCol w:w="813"/>
        <w:gridCol w:w="813"/>
        <w:gridCol w:w="813"/>
        <w:gridCol w:w="813"/>
        <w:gridCol w:w="1154"/>
      </w:tblGrid>
      <w:tr>
        <w:trPr/>
        <w:tc>
          <w:tcPr>
            <w:tcW w:w="92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Includes related party amounts of $0.1 million in Accounts receivable, net as of both June 30, 2026 and December 31, 2025, as outlined in Note 21. Related Party Transactions.</w:t>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7658"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2"/>
        <w:gridCol w:w="1130"/>
        <w:gridCol w:w="1090"/>
        <w:gridCol w:w="223"/>
        <w:gridCol w:w="884"/>
        <w:gridCol w:w="124"/>
        <w:gridCol w:w="124"/>
        <w:gridCol w:w="124"/>
        <w:gridCol w:w="124"/>
        <w:gridCol w:w="223"/>
        <w:gridCol w:w="884"/>
        <w:gridCol w:w="124"/>
        <w:gridCol w:w="124"/>
        <w:gridCol w:w="124"/>
        <w:gridCol w:w="124"/>
        <w:gridCol w:w="223"/>
        <w:gridCol w:w="884"/>
        <w:gridCol w:w="124"/>
        <w:gridCol w:w="124"/>
        <w:gridCol w:w="124"/>
        <w:gridCol w:w="124"/>
        <w:gridCol w:w="223"/>
        <w:gridCol w:w="884"/>
        <w:gridCol w:w="124"/>
        <w:gridCol w:w="109"/>
        <w:gridCol w:w="164"/>
      </w:tblGrid>
      <w:tr>
        <w:trPr/>
        <w:tc>
          <w:tcPr>
            <w:tcW w:w="167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Net revenue</w:t>
            </w:r>
            <w:r>
              <w:rPr>
                <w:rFonts w:ascii="Times New Roman;serif" w:hAnsi="Times New Roman;serif"/>
                <w:b w:val="false"/>
                <w:color w:val="000000"/>
                <w:sz w:val="10"/>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92,282 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45,475 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95,747 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compensation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Technology</w:t>
            </w:r>
            <w:r>
              <w:rPr>
                <w:rFonts w:ascii="Times New Roman;serif" w:hAnsi="Times New Roman;serif"/>
                <w:b w:val="false"/>
                <w:color w:val="000000"/>
                <w:sz w:val="10"/>
              </w:rPr>
              <w:t>(2)</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General and administrative</w:t>
            </w:r>
            <w:r>
              <w:rPr>
                <w:rFonts w:ascii="Times New Roman;serif" w:hAnsi="Times New Roman;serif"/>
                <w:b w:val="false"/>
                <w:color w:val="000000"/>
                <w:sz w:val="10"/>
              </w:rPr>
              <w:t>(3)</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losses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operating expenses </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98,724 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266,876 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(76,941)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(65,435)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(171,129)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(113,462)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(expense): </w:t>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crypto assets and receivable, crypto assets pledged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(161,697)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related party crypto loans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(161,049)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(62,048)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convertible notes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loans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(94,320)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related party loans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third party loans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funding debt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(30,761)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(67,701)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(45,530)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(173,950)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before income taxes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(107,702)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(133,136)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(216,659)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(287,412)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(107,724)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(133,212)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(216,702)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(282,476)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attributable to common stockholders:</w:t>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(0.89)</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(27.08)</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(57.41)</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 and diluted</w:t>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121,272 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118,940 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(107,724)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(216,702)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(282,476)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net of tax</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attributable to instrument-specific credit risk</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(108,132)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(132,834)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(216,804)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(277,296)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Net revenue includes related party amounts of $0.4 million and $0.7 million for the three and six months ended June 30, 2026, respectively, and $0.6 million and $1.2 million for the three and six months ended June 30, 2025, respectively, as outlined in Note 21. Related Party Transactions.</w:t>
            </w:r>
          </w:p>
        </w:tc>
        <w:tc>
          <w:tcPr>
            <w:tcW w:w="273" w:type="dxa"/>
            <w:gridSpan w:val="2"/>
            <w:tcBorders/>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Technology expenses include related party amounts of $0 for the three and six months ended June 30, 2026, and $0.1 million and $0.2 million for the three and six months ended June 30, 2025, respectively, as outlined in Note 21. Related Party Transactions.</w:t>
            </w:r>
          </w:p>
        </w:tc>
        <w:tc>
          <w:tcPr>
            <w:tcW w:w="273" w:type="dxa"/>
            <w:gridSpan w:val="2"/>
            <w:tcBorders/>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General and administrative expenses include related party amounts of $0 and $0.4 million for the three and six months ended June 30, 2026, respectively, and $0.1 million for the three and six months ended June 30, 2025, as outlined in Note 21. Related Party Transactions.</w:t>
            </w:r>
          </w:p>
        </w:tc>
        <w:tc>
          <w:tcPr>
            <w:tcW w:w="273"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Convertible Preferred Units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4514" w:type="dxa"/>
        <w:jc w:val="center"/>
        <w:tblInd w:w="0" w:type="dxa"/>
        <w:tblLayout w:type="fixed"/>
        <w:tblCellMar>
          <w:top w:w="28" w:type="dxa"/>
          <w:left w:w="28" w:type="dxa"/>
          <w:bottom w:w="28" w:type="dxa"/>
          <w:right w:w="28" w:type="dxa"/>
        </w:tblCellMar>
      </w:tblPr>
      <w:tblGrid>
        <w:gridCol w:w="627"/>
        <w:gridCol w:w="181"/>
        <w:gridCol w:w="183"/>
        <w:gridCol w:w="270"/>
        <w:gridCol w:w="271"/>
        <w:gridCol w:w="141"/>
        <w:gridCol w:w="109"/>
        <w:gridCol w:w="109"/>
        <w:gridCol w:w="109"/>
        <w:gridCol w:w="181"/>
        <w:gridCol w:w="616"/>
        <w:gridCol w:w="109"/>
        <w:gridCol w:w="109"/>
        <w:gridCol w:w="109"/>
        <w:gridCol w:w="109"/>
        <w:gridCol w:w="270"/>
        <w:gridCol w:w="271"/>
        <w:gridCol w:w="141"/>
        <w:gridCol w:w="109"/>
        <w:gridCol w:w="109"/>
        <w:gridCol w:w="109"/>
        <w:gridCol w:w="181"/>
        <w:gridCol w:w="406"/>
        <w:gridCol w:w="109"/>
        <w:gridCol w:w="109"/>
        <w:gridCol w:w="109"/>
        <w:gridCol w:w="109"/>
        <w:gridCol w:w="308"/>
        <w:gridCol w:w="308"/>
        <w:gridCol w:w="171"/>
        <w:gridCol w:w="109"/>
        <w:gridCol w:w="109"/>
        <w:gridCol w:w="109"/>
        <w:gridCol w:w="181"/>
        <w:gridCol w:w="406"/>
        <w:gridCol w:w="109"/>
        <w:gridCol w:w="109"/>
        <w:gridCol w:w="109"/>
        <w:gridCol w:w="109"/>
        <w:gridCol w:w="240"/>
        <w:gridCol w:w="241"/>
        <w:gridCol w:w="171"/>
        <w:gridCol w:w="109"/>
        <w:gridCol w:w="109"/>
        <w:gridCol w:w="109"/>
        <w:gridCol w:w="181"/>
        <w:gridCol w:w="406"/>
        <w:gridCol w:w="109"/>
        <w:gridCol w:w="109"/>
        <w:gridCol w:w="109"/>
        <w:gridCol w:w="109"/>
        <w:gridCol w:w="181"/>
        <w:gridCol w:w="721"/>
        <w:gridCol w:w="109"/>
        <w:gridCol w:w="109"/>
        <w:gridCol w:w="109"/>
        <w:gridCol w:w="109"/>
        <w:gridCol w:w="244"/>
        <w:gridCol w:w="629"/>
        <w:gridCol w:w="148"/>
        <w:gridCol w:w="109"/>
        <w:gridCol w:w="109"/>
        <w:gridCol w:w="109"/>
        <w:gridCol w:w="181"/>
        <w:gridCol w:w="736"/>
        <w:gridCol w:w="109"/>
        <w:gridCol w:w="327"/>
        <w:gridCol w:w="181"/>
        <w:gridCol w:w="736"/>
        <w:gridCol w:w="154"/>
      </w:tblGrid>
      <w:tr>
        <w:trPr/>
        <w:tc>
          <w:tcPr>
            <w:tcW w:w="6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Convertible Preferred Units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2026</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120,265 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2,607,625 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(2,152,231)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456,138 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settlement of RSUs, net of shares withheld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 withholdings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exchange for crypto assets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Forfeiture of unvested restricted shares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2026</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128,668 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(2,259,955)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468,307 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68,383 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7,789 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(1,609,704)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(938,369)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doub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68,383 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665,299 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8,167 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(1,742,916)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(1,069,450)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Convertible Preferred Units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4454" w:type="dxa"/>
        <w:jc w:val="center"/>
        <w:tblInd w:w="0" w:type="dxa"/>
        <w:tblLayout w:type="fixed"/>
        <w:tblCellMar>
          <w:top w:w="28" w:type="dxa"/>
          <w:left w:w="28" w:type="dxa"/>
          <w:bottom w:w="28" w:type="dxa"/>
          <w:right w:w="28" w:type="dxa"/>
        </w:tblCellMar>
      </w:tblPr>
      <w:tblGrid>
        <w:gridCol w:w="560"/>
        <w:gridCol w:w="215"/>
        <w:gridCol w:w="216"/>
        <w:gridCol w:w="270"/>
        <w:gridCol w:w="271"/>
        <w:gridCol w:w="141"/>
        <w:gridCol w:w="109"/>
        <w:gridCol w:w="109"/>
        <w:gridCol w:w="109"/>
        <w:gridCol w:w="181"/>
        <w:gridCol w:w="616"/>
        <w:gridCol w:w="109"/>
        <w:gridCol w:w="109"/>
        <w:gridCol w:w="109"/>
        <w:gridCol w:w="109"/>
        <w:gridCol w:w="270"/>
        <w:gridCol w:w="271"/>
        <w:gridCol w:w="141"/>
        <w:gridCol w:w="109"/>
        <w:gridCol w:w="109"/>
        <w:gridCol w:w="109"/>
        <w:gridCol w:w="181"/>
        <w:gridCol w:w="406"/>
        <w:gridCol w:w="109"/>
        <w:gridCol w:w="109"/>
        <w:gridCol w:w="109"/>
        <w:gridCol w:w="109"/>
        <w:gridCol w:w="308"/>
        <w:gridCol w:w="308"/>
        <w:gridCol w:w="141"/>
        <w:gridCol w:w="109"/>
        <w:gridCol w:w="109"/>
        <w:gridCol w:w="109"/>
        <w:gridCol w:w="181"/>
        <w:gridCol w:w="406"/>
        <w:gridCol w:w="109"/>
        <w:gridCol w:w="109"/>
        <w:gridCol w:w="109"/>
        <w:gridCol w:w="109"/>
        <w:gridCol w:w="248"/>
        <w:gridCol w:w="233"/>
        <w:gridCol w:w="141"/>
        <w:gridCol w:w="109"/>
        <w:gridCol w:w="109"/>
        <w:gridCol w:w="109"/>
        <w:gridCol w:w="181"/>
        <w:gridCol w:w="406"/>
        <w:gridCol w:w="109"/>
        <w:gridCol w:w="109"/>
        <w:gridCol w:w="109"/>
        <w:gridCol w:w="109"/>
        <w:gridCol w:w="181"/>
        <w:gridCol w:w="721"/>
        <w:gridCol w:w="109"/>
        <w:gridCol w:w="109"/>
        <w:gridCol w:w="109"/>
        <w:gridCol w:w="109"/>
        <w:gridCol w:w="244"/>
        <w:gridCol w:w="629"/>
        <w:gridCol w:w="148"/>
        <w:gridCol w:w="109"/>
        <w:gridCol w:w="109"/>
        <w:gridCol w:w="109"/>
        <w:gridCol w:w="181"/>
        <w:gridCol w:w="736"/>
        <w:gridCol w:w="109"/>
        <w:gridCol w:w="327"/>
        <w:gridCol w:w="181"/>
        <w:gridCol w:w="73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Convertible Preferred Units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117,740 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(2,043,253)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540,873 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settlement of stock awards, net of shares withheld</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 withholdings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exchange for crypto assets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Forfeiture of unvested restricted shares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2026</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128,668 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(2,259,955)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468,307 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(1,460,440)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(795,362)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Units due to equity awards granted, net of forfeitures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68,383 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665,299 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8,167 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(1,742,916)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(1,069,450)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241" w:type="dxa"/>
        <w:jc w:val="center"/>
        <w:tblInd w:w="0" w:type="dxa"/>
        <w:tblLayout w:type="fixed"/>
        <w:tblCellMar>
          <w:top w:w="28" w:type="dxa"/>
          <w:left w:w="28" w:type="dxa"/>
          <w:bottom w:w="28" w:type="dxa"/>
          <w:right w:w="28" w:type="dxa"/>
        </w:tblCellMar>
      </w:tblPr>
      <w:tblGrid>
        <w:gridCol w:w="2327"/>
        <w:gridCol w:w="2038"/>
        <w:gridCol w:w="2054"/>
        <w:gridCol w:w="196"/>
        <w:gridCol w:w="811"/>
        <w:gridCol w:w="109"/>
        <w:gridCol w:w="109"/>
        <w:gridCol w:w="109"/>
        <w:gridCol w:w="109"/>
        <w:gridCol w:w="196"/>
        <w:gridCol w:w="811"/>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crypto assets and receivable, crypto assets pledged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related party crypto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received as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payments for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received as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crypto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 of crypto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third 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for funding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crypto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credit card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repayments of credit card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 net of redemptions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third party loan, net of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funding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funding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withholding taxes on settlement of restricted stock units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927" w:type="dxa"/>
        <w:jc w:val="center"/>
        <w:tblInd w:w="0" w:type="dxa"/>
        <w:tblLayout w:type="fixed"/>
        <w:tblCellMar>
          <w:top w:w="28" w:type="dxa"/>
          <w:left w:w="28" w:type="dxa"/>
          <w:bottom w:w="28" w:type="dxa"/>
          <w:right w:w="28" w:type="dxa"/>
        </w:tblCellMar>
      </w:tblPr>
      <w:tblGrid>
        <w:gridCol w:w="2267"/>
        <w:gridCol w:w="1988"/>
        <w:gridCol w:w="2000"/>
        <w:gridCol w:w="196"/>
        <w:gridCol w:w="736"/>
        <w:gridCol w:w="109"/>
        <w:gridCol w:w="109"/>
        <w:gridCol w:w="109"/>
        <w:gridCol w:w="109"/>
        <w:gridCol w:w="196"/>
        <w:gridCol w:w="736"/>
        <w:gridCol w:w="109"/>
        <w:gridCol w:w="109"/>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tax withholdings related to net share settlements of equity awards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restricted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consisted of the following: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restricted cash and cash equivalents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 of refunds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 received in crypto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related party loans denominated in crypto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exchange for crypto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returned as collateral for funding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returned as collateral for third party 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received for derivatives,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 interest denominated in crypto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attributable to instrument-specific credit risk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Drawdown of related party loans (crypto in-transit)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2672" w:type="dxa"/>
            <w:gridSpan w:val="11"/>
            <w:tcBorders/>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Space Station, Inc., (the “Corporation,” “Company,” “Gemini,” or “Space Station”) a Nevada corporation, was formed on February 4, 2025, and has a fiscal year end of December 31. Pursuant to a reorganization that occurred concurrently with the initial public offering (“IPO”) in September 2025, the Corporation is a holding company, and its principal asset is a controlling equity interest in Gemini Space Station, LLC (“GSS, LLC”), a related party. The Corporation is the sole managing member of GSS, LLC and controls all of its businesses and affairs.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offers a mobile and web-based crypto asset exchange platform, proprietary wallet infrastructure and custody solutions, high-performance over-the-counter trading solutions tailored to institutions and professional clients, a proprietary United States dollar-backed stablecoin, a crypto asset staking service, a credit card product that offers crypto asset rewards on customer purchases, a regulated prediction markets platform, and a spot margin trading service. The Company operates in multiple jurisdictions and provides security solutions across all of its product offerings.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subsidiaries are regulated by, and/or subject to oversight or indirect impact from, various state, federal and self-regulatory organizational governing bodies, including the New York State Department of Financial Services (“NYSDFS”), the Financial Industry Regulatory Authority (“FINRA”), and the Commodity Futures Trading Commission (“CFTC”).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Gemini Space Station, Inc., and its subsidiaries. All intercompany balances and transactions have been eliminated in consolidation. The unaudited condensed consolidated financial statements are prepared in conformity with accounting principles generally accepted in the United States of America (“U.S. GAAP”) and pursuant to the rules and regulations of the Securities and Exchange Commission (the “SEC”) for interim reporting. The unaudited interim financial statements have been prepared on the same basis as the audited consolidated financial statements and in the opinion of management, reflect all adjustments, including normal recurring adjustments, necessary for the fair presentation of the Company's financial statements for the periods presented.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should be read in conjunction with the audited annual consolidated financial statements included in the Company’s Annual Report on Form 10-K for the year ended December 31, 2025 filed with the SEC on March 31, 2026 (the “Annual Report”). There have been no material changes in the Company's most significant estimates and assumptions, significant accounting policies, segment reporting, or recent accounting pronouncements as described in our audited consolidated financial statements included in our Annual Report, other than as disclosed below.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prior-period amounts to conform to the current-period presentation. These reclassifications were not material to the presentation of the unaudited condensed consolidated financial statements and had no impact on previously reported total assets, total liabilities or net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accordance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the fair value of crypto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allowance for transaction losses, contingent liabilities, the Company's incremental borrowing rate, fair value of derivatives, fair value of strategic investments, fair value of stock options, the useful life of long-lived assets, and the recoverability of long-lived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results and outcomes may differ from management’s estimates and assumptions due to risks and uncertainties. To the extent that there are material differences between management's estimates and actual results, the Company’s condensed consolidated financial statements could be materially affected. The Company bases its estimates on historical experience and on various other assumptions that are believed to be reasonable under the circumstances, the result of which forms the basis for making judgments about the carrying values of assets and liabilities.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Section 2(a)(19) of the Securities Act of 1933, as amended (the “Securities Act”), as modified by the Jumpstart Our Business Startups Act of 2012 (the “JOBS Act”), and may take advantage of certain exemptions from various reporting requirements that are applicable to other public companies that are not emerging growth companies. Under the JOBS Act, emerging growth companies can delay adopting new or revised accounting standards until such time as those standards apply to private companies. The Company has elected to avail itself of this extended transition period and, as a result, will not be required to adopt new or revised accounting standards on the relevant dates on which adoption of such standards is required for other public companies. The Company may take advantage of these exemptions up until the last day of the fiscal year following the fifth anniversary of the IPO or such earlier time that it is no longer an emerging growth company. The Company would cease to be an emerging growth company on the last day of the fiscal year in which it has total annual gross revenues of $1.235 billion or more, has more than $700.0 million in market value of its stock held by non-affiliates (and it has been a public company for at least 12 months, and has filed an annual report on Form 10-K), or it issues more than $1.0 billion in non-convertible debt securities over a three-year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custodial funds and custodial funds due to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Customer custodial funds represent restricted cash and cash equivalents maintained in segregated Company bank accounts that are held for the exclusive benefit of customers. The Company has restricted cash deposits at financial institutions related to the Gemini Dollar (“GUSD”).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Customer custodial funds related to GUSD were $39.8 million and $46.6 million as of June 30, 2026 and December 31, 2025, respectively. Customer custodial funds due to customers related to GUSD were $39.2 million and $45.6 million as of June 30, 2026 and December 31,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 receivables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extends financing to certain customers in the form of (i) on-exchange loans and (ii) margin loans to facilitate trading activity on its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On-Exchange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On-exchange loans are short-term, non-interest-bearing advances provided to customers that may be used solely for trading on the Company’s platform. These arrangements are contractually repayable, callable at the Company’s discretion, and are subject to account restrictions that limit the customer’s ability to withdraw or transfer loan proceeds outside of the platform. On-exchange loans are recorded at amortized cost, which approximates fair value due to their short-term nature. These loans do not generate interest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Margin Loans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Margin loans are interest-bearing loans extended to customers to enable leveraged trading. These loans are collateralized by customer assets held on the Company’s platform and are subject to margin maintenance requirements, ongoing monitoring, and liquidation provisions. The Company does not recognize such collateral on its condensed consolidated balance sheets as it does not obtain control of the assets. Margin loan receivables are recorded at amortized cost, which approximates fair value due to their short-term nature. Interest income on margin loans is recognized over time based on the outstanding loan balance and applicable interest rates, which accrue on an hourly basis, and is included as interest income within Net revenue on the condensed consolidated statements of operations and comprehensive loss. See </w:t>
      </w:r>
      <w:r>
        <w:rPr>
          <w:rFonts w:ascii="Times New Roman;serif" w:hAnsi="Times New Roman;serif"/>
          <w:b w:val="false"/>
          <w:i/>
          <w:color w:val="000000"/>
          <w:sz w:val="20"/>
        </w:rPr>
        <w:t>Note 3. Revenue.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its loan receivables for expected credit losses in accordance with applicable guidance. These arrangements are subject to collateral requirements, account restrictions, and liquidation rights that are designed to mitigate credit risk. Based on these factors, the Company’s credit exposure is limited. No allowance for credit losses or write-offs has been recorded for the periods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On-exchange loans and margin loans are included in Prepaid expenses and other current assets on the condensed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primarily consisting of cash and cash equivalents, restricted cash and cash equivalents, customer custodial funds, and accounts receivable, may subject the Company to concentrations of credit risk. The Company generally maintains cash balances in excess of federally insured limits.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no customers that accounted for more than 10% of the Company’s 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and six months ended June 30, 2026 and 2025, no customer accounted for more than 10% of Total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includes costs incurred to promote the Company’s brand, products, and services and to acquire, retain, and engage customers. These costs include advertising and promotional expenses, credit card rewards and customer incentive programs, sponsorships and partnerships, marketing campaigns, and other sales and marketing-related costs. Advertising costs are expensed as incurred.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advertising expense was $0.8 million and $6.2 million, respectively. During the three and six months ended June 30, 2025, advertising expense was $7.7 million and $10.7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relating to recent accounting pronouncements, including the expected dates of adoption and estimated effects on the condensed consolidated financial statements and footnote disclosures, since those disclosed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determines revenue recognition from contracts with customers in accordance with Financial Accounting Standards Board (“FASB”)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of the Company disaggregated by revenue source and ASC 606 applicability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4"/>
        <w:gridCol w:w="1014"/>
        <w:gridCol w:w="998"/>
        <w:gridCol w:w="284"/>
        <w:gridCol w:w="938"/>
        <w:gridCol w:w="157"/>
        <w:gridCol w:w="157"/>
        <w:gridCol w:w="157"/>
        <w:gridCol w:w="157"/>
        <w:gridCol w:w="284"/>
        <w:gridCol w:w="938"/>
        <w:gridCol w:w="157"/>
        <w:gridCol w:w="150"/>
        <w:gridCol w:w="150"/>
        <w:gridCol w:w="150"/>
        <w:gridCol w:w="271"/>
        <w:gridCol w:w="895"/>
        <w:gridCol w:w="150"/>
        <w:gridCol w:w="150"/>
        <w:gridCol w:w="150"/>
        <w:gridCol w:w="150"/>
        <w:gridCol w:w="271"/>
        <w:gridCol w:w="895"/>
        <w:gridCol w:w="150"/>
        <w:gridCol w:w="109"/>
        <w:gridCol w:w="169"/>
      </w:tblGrid>
      <w:tr>
        <w:trPr/>
        <w:tc>
          <w:tcPr>
            <w:tcW w:w="115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8" w:type="dxa"/>
            <w:gridSpan w:val="2"/>
            <w:tcBorders/>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revenue</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OTC</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Prediction markets revenue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transaction revenue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revenue</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44,974 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revenue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revenue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 revenue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 revenue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services revenue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revenue</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45,346 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 from contracts with customers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Revenue not from contracts with customers</w:t>
            </w:r>
            <w:r>
              <w:rPr>
                <w:rFonts w:ascii="Times New Roman;serif" w:hAnsi="Times New Roman;serif"/>
                <w:b w:val="false"/>
                <w:color w:val="000000"/>
                <w:sz w:val="12"/>
              </w:rPr>
              <w:t>(1)</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not from contracts with customers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45,475 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95,747 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68,611 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927"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Amounts represent revenue that is not accounted for as revenue from contracts with customers, as defined in ASC 606. Interest income is included within Net revenue and corporate interest is included within Other revenue, respectively, on the condensed consolidated statements of operations and comprehensive loss.</w:t>
            </w:r>
          </w:p>
        </w:tc>
        <w:tc>
          <w:tcPr>
            <w:tcW w:w="278"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Prediction markets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launched Gemini Predictions™, a CFTC-regulated prediction markets platform offered through its affiliate Gemini Titan, LLC (“Gemini Titan”), which holds a Designated Contract Market (“DCM”) license. Gemini Predictions allows eligible customers to trade binary event contracts on the outcomes of specified future events. The Company generates revenue from its prediction markets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fees charged to customers for executing trades. Revenue is recognized at a point in time when the transaction is executed, as the Company satisfies its performance obligation by facilitating the trade.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The following table presents revenue of the Company disaggregated by geography based on domiciles of the customer or other counterparty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8"/>
        <w:gridCol w:w="782"/>
        <w:gridCol w:w="794"/>
        <w:gridCol w:w="315"/>
        <w:gridCol w:w="1039"/>
        <w:gridCol w:w="174"/>
        <w:gridCol w:w="174"/>
        <w:gridCol w:w="174"/>
        <w:gridCol w:w="174"/>
        <w:gridCol w:w="315"/>
        <w:gridCol w:w="1039"/>
        <w:gridCol w:w="174"/>
        <w:gridCol w:w="165"/>
        <w:gridCol w:w="165"/>
        <w:gridCol w:w="165"/>
        <w:gridCol w:w="298"/>
        <w:gridCol w:w="985"/>
        <w:gridCol w:w="165"/>
        <w:gridCol w:w="165"/>
        <w:gridCol w:w="165"/>
        <w:gridCol w:w="165"/>
        <w:gridCol w:w="298"/>
        <w:gridCol w:w="985"/>
        <w:gridCol w:w="165"/>
        <w:gridCol w:w="109"/>
        <w:gridCol w:w="168"/>
      </w:tblGrid>
      <w:tr>
        <w:trPr/>
        <w:tc>
          <w:tcPr>
            <w:tcW w:w="8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7" w:type="dxa"/>
            <w:gridSpan w:val="2"/>
            <w:tcBorders/>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International</w:t>
            </w:r>
            <w:r>
              <w:rPr>
                <w:rFonts w:ascii="Times New Roman;serif" w:hAnsi="Times New Roman;serif"/>
                <w:b w:val="false"/>
                <w:color w:val="000000"/>
                <w:sz w:val="12"/>
              </w:rPr>
              <w:t>(1)</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revenue</w:t>
            </w:r>
            <w:r>
              <w:rPr>
                <w:rFonts w:ascii="Times New Roman;serif" w:hAnsi="Times New Roman;serif"/>
                <w:b w:val="false"/>
                <w:color w:val="000000"/>
                <w:sz w:val="12"/>
              </w:rPr>
              <w:t>(2)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928"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No country, outside the U.S., accounted for more than 10% of Total revenue.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Total revenue includes $4.1 million and $8.6 million for the three and six months ended June 30, 2026, respectively, and $2.9 million and $5.3 million for the three and six months ended June 30, 2025, respectively, that is not recognized within the scope of ASC 606 as outlined above.</w:t>
            </w:r>
          </w:p>
        </w:tc>
        <w:tc>
          <w:tcPr>
            <w:tcW w:w="277"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Restructuring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5, 2026, the Company announced its plan to wind down operations in the United Kingdom, European Union, other European jurisdictions, and Australia, including a reduction in force of approximately 200 employees and the related exit or early termination of certain office leases in London, Malta, and San Francisco. On February 17, 2026, the Company separately announced the departure of three executives. The wind-down, workforce reduction, lease-related actions, and executive departures are collectively referred to herein as the "Restructuring." In connection with the Restructuring, the Company recorded no restructuring charges in the three months ended June 30, 2026 and approximately $7.9 million of charges in the six months ended June 30, 2026, consisting primarily of severance and personnel costs, operating lease right-of-use (“ROU”) asset impairment charges, and lease termination fees. These charges are included within Salaries and compensation and General and administrative expenses on the condensed consolidated statements of operations and comprehensive loss. These actions were undertaken as part of a strategic initiative to streamline the Company’s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restructuring charges for the six months ended June 30, 2026 by major activity type is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2"/>
        <w:gridCol w:w="834"/>
        <w:gridCol w:w="838"/>
        <w:gridCol w:w="558"/>
        <w:gridCol w:w="1584"/>
        <w:gridCol w:w="312"/>
        <w:gridCol w:w="125"/>
        <w:gridCol w:w="125"/>
        <w:gridCol w:w="125"/>
        <w:gridCol w:w="754"/>
        <w:gridCol w:w="2143"/>
        <w:gridCol w:w="420"/>
        <w:gridCol w:w="125"/>
        <w:gridCol w:w="125"/>
        <w:gridCol w:w="125"/>
        <w:gridCol w:w="227"/>
        <w:gridCol w:w="644"/>
        <w:gridCol w:w="189"/>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Facilities Consolidation</w:t>
            </w:r>
            <w:r>
              <w:rPr>
                <w:rFonts w:ascii="Times New Roman;serif" w:hAnsi="Times New Roman;serif"/>
                <w:b/>
                <w:color w:val="000000"/>
                <w:sz w:val="13"/>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Severance and Other Personnel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Salaries and compensation - cash </w:t>
            </w:r>
          </w:p>
        </w:tc>
        <w:tc>
          <w:tcPr>
            <w:tcW w:w="2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Facilities consolidation includes lease termination costs and impairment charges and accelerated expenses related to certain operating lease ROU assets and non-recoverable furniture and fixtures.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Restructuring, the Company recognized a net benefit of approximately $7.1 million  related to stock-based compensation. This net benefit was primarily driven by $8.8 million of forfeitures of unvested awards associated with terminated employees, partially offset by incremental expense of $1.7 million recognized from the acceleration of vesting for certain awards. This net benefit is recorded within Salaries and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expense on the condensed consolidated statements of operations and comprehensive loss, consistent with the Company's accounting policy for stock-based compensation, and is excluded from restructuring charges above.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changes in the severance and other personnel obligations, included within Accrued expenses and Other current liabilities on the condensed consolidated balance sheets, related to the Restructuring (in thousands):</w:t>
      </w:r>
    </w:p>
    <w:p>
      <w:pPr>
        <w:pStyle w:val="TextBody"/>
        <w:bidi w:val="0"/>
        <w:spacing w:before="0" w:after="0"/>
        <w:jc w:val="both"/>
        <w:rPr/>
      </w:pPr>
      <w:r>
        <w:rPr/>
      </w:r>
    </w:p>
    <w:tbl>
      <w:tblPr>
        <w:tblW w:w="3468" w:type="dxa"/>
        <w:jc w:val="left"/>
        <w:tblInd w:w="0" w:type="dxa"/>
        <w:tblLayout w:type="fixed"/>
        <w:tblCellMar>
          <w:top w:w="28" w:type="dxa"/>
          <w:left w:w="28" w:type="dxa"/>
          <w:bottom w:w="28" w:type="dxa"/>
          <w:right w:w="28" w:type="dxa"/>
        </w:tblCellMar>
      </w:tblPr>
      <w:tblGrid>
        <w:gridCol w:w="973"/>
        <w:gridCol w:w="853"/>
        <w:gridCol w:w="858"/>
        <w:gridCol w:w="205"/>
        <w:gridCol w:w="425"/>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personnel costs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during the period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consisted of the following (in thousands):</w:t>
      </w:r>
    </w:p>
    <w:p>
      <w:pPr>
        <w:pStyle w:val="TextBody"/>
        <w:bidi w:val="0"/>
        <w:spacing w:before="0" w:after="0"/>
        <w:jc w:val="both"/>
        <w:rPr/>
      </w:pPr>
      <w:r>
        <w:rPr/>
      </w:r>
    </w:p>
    <w:tbl>
      <w:tblPr>
        <w:tblW w:w="6624" w:type="dxa"/>
        <w:jc w:val="left"/>
        <w:tblInd w:w="0" w:type="dxa"/>
        <w:tblLayout w:type="fixed"/>
        <w:tblCellMar>
          <w:top w:w="28" w:type="dxa"/>
          <w:left w:w="28" w:type="dxa"/>
          <w:bottom w:w="28" w:type="dxa"/>
          <w:right w:w="28" w:type="dxa"/>
        </w:tblCellMar>
      </w:tblPr>
      <w:tblGrid>
        <w:gridCol w:w="1177"/>
        <w:gridCol w:w="1035"/>
        <w:gridCol w:w="1042"/>
        <w:gridCol w:w="262"/>
        <w:gridCol w:w="866"/>
        <w:gridCol w:w="146"/>
        <w:gridCol w:w="109"/>
        <w:gridCol w:w="109"/>
        <w:gridCol w:w="109"/>
        <w:gridCol w:w="346"/>
        <w:gridCol w:w="1147"/>
        <w:gridCol w:w="276"/>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Credit card receivables</w:t>
            </w:r>
            <w:r>
              <w:rPr>
                <w:rFonts w:ascii="Times New Roman;serif" w:hAnsi="Times New Roman;serif"/>
                <w:b w:val="false"/>
                <w:color w:val="000000"/>
                <w:sz w:val="12"/>
              </w:rPr>
              <w:t>(1)</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Retail receivables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fees receivable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Staking fees receivable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fees receivable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transaction losses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accounts receivable, net of allowance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4"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Includes $0.7 million of accrued interest receivable as of June 30, 2026 and December 31, 2025.</w:t>
            </w:r>
          </w:p>
        </w:tc>
      </w:tr>
    </w:tbl>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holds both pledged and unpledged credit card receivables. Unpledged credit card receivables are included in </w:t>
      </w:r>
      <w:r>
        <w:rPr>
          <w:rFonts w:ascii="Times New Roman;serif" w:hAnsi="Times New Roman;serif"/>
          <w:b w:val="false"/>
          <w:color w:val="000000"/>
          <w:sz w:val="20"/>
          <w:shd w:fill="FFFFFF" w:val="clear"/>
        </w:rPr>
        <w:t>Accounts receivable, net</w:t>
      </w:r>
      <w:r>
        <w:rPr>
          <w:color w:val="000000"/>
        </w:rPr>
        <w:t xml:space="preserve"> </w:t>
      </w:r>
      <w:r>
        <w:rPr>
          <w:rFonts w:ascii="Times New Roman;serif" w:hAnsi="Times New Roman;serif"/>
          <w:b w:val="false"/>
          <w:color w:val="000000"/>
          <w:sz w:val="20"/>
        </w:rPr>
        <w:t xml:space="preserve">on the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 xml:space="preserve">. Credit card receivables that have been pledged as collateral under the Company’s warehouse credit agreement are presented separately as Credit card receivables pledged, net on the condensed consolidated balance sheets. As of June 30, 2026 and December 31, 2025, the allowance for expected credit losses associated with pledged credit card receivables was $3.7 million and $0.1 million, respectively. See </w:t>
      </w:r>
      <w:r>
        <w:rPr>
          <w:rFonts w:ascii="Times New Roman;serif" w:hAnsi="Times New Roman;serif"/>
          <w:b w:val="false"/>
          <w:i/>
          <w:color w:val="000000"/>
          <w:sz w:val="20"/>
        </w:rPr>
        <w:t>Note 16. Funding Debt</w:t>
      </w:r>
      <w:r>
        <w:rPr>
          <w:color w:val="000000"/>
        </w:rPr>
        <w:t xml:space="preserve"> </w:t>
      </w:r>
      <w:r>
        <w:rPr>
          <w:rFonts w:ascii="Times New Roman;serif" w:hAnsi="Times New Roman;serif"/>
          <w:b w:val="false"/>
          <w:color w:val="000000"/>
          <w:sz w:val="20"/>
        </w:rPr>
        <w:t>for additional information regarding pledged credit card receivables.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Allowance for transaction losses consisted of the following for the three and six months ended June 30, 2026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811"/>
        <w:gridCol w:w="651"/>
        <w:gridCol w:w="657"/>
        <w:gridCol w:w="256"/>
        <w:gridCol w:w="846"/>
        <w:gridCol w:w="142"/>
        <w:gridCol w:w="411"/>
        <w:gridCol w:w="854"/>
        <w:gridCol w:w="232"/>
        <w:gridCol w:w="400"/>
        <w:gridCol w:w="833"/>
        <w:gridCol w:w="226"/>
        <w:gridCol w:w="312"/>
        <w:gridCol w:w="1029"/>
        <w:gridCol w:w="173"/>
        <w:gridCol w:w="375"/>
        <w:gridCol w:w="779"/>
        <w:gridCol w:w="212"/>
        <w:gridCol w:w="196"/>
        <w:gridCol w:w="646"/>
        <w:gridCol w:w="164"/>
      </w:tblGrid>
      <w:tr>
        <w:trPr/>
        <w:tc>
          <w:tcPr>
            <w:tcW w:w="8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Custody fees receivable</w:t>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Credit card receivables</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and reversals of write-offs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Custody fees receivable</w:t>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Credit card receivables</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Provision for credit losses</w:t>
            </w:r>
            <w:r>
              <w:rPr>
                <w:rFonts w:ascii="Times New Roman;serif" w:hAnsi="Times New Roman;serif"/>
                <w:b w:val="false"/>
                <w:color w:val="000000"/>
                <w:sz w:val="12"/>
              </w:rPr>
              <w:t>(2)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and reversals of write-offs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Credit card receivable write-offs include $0 and $0.1 million attributable to write-offs of accrued interest and fee receivables for the three and six months ended June 30, 2026, respectively.</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(2) Credit card receivable provision for credit losses include $4.1 million related to a discrete fraud reserve for the six months ended June 30, 2026. </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Allowance for transaction losses consisted of the following for the three and six months ended June 30,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2"/>
        <w:gridCol w:w="653"/>
        <w:gridCol w:w="659"/>
        <w:gridCol w:w="280"/>
        <w:gridCol w:w="799"/>
        <w:gridCol w:w="158"/>
        <w:gridCol w:w="412"/>
        <w:gridCol w:w="855"/>
        <w:gridCol w:w="232"/>
        <w:gridCol w:w="401"/>
        <w:gridCol w:w="834"/>
        <w:gridCol w:w="227"/>
        <w:gridCol w:w="341"/>
        <w:gridCol w:w="975"/>
        <w:gridCol w:w="192"/>
        <w:gridCol w:w="369"/>
        <w:gridCol w:w="794"/>
        <w:gridCol w:w="206"/>
        <w:gridCol w:w="196"/>
        <w:gridCol w:w="646"/>
        <w:gridCol w:w="164"/>
      </w:tblGrid>
      <w:tr>
        <w:trPr/>
        <w:tc>
          <w:tcPr>
            <w:tcW w:w="81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Custody fees receivable</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Credit card receivables</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Custody fees receivable</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card receivables</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Credit card receivable write-offs include less than $0.1 million and $0.3 million attributable to write-offs of accrued interest and fee receivables for the three and six months ended June 30, 2025, respectively.</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all accounts receivable, the Company evaluates collectability at each reporting date and writes off unsecured balances when they are outstanding for more than 180 days or when the balances are otherwise deemed to be uncollectible. The provision for transaction losses is recorded in Transaction losses on the condensed consolidated statements of operations and comprehensive loss.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assessing credit quality of the credit card receivable portfolio, the Company considers delinquency status as a key indicator. As of June 30, 2026 and December 31, 2025, 91.1% and 96.9%, respectively, of the Company's receivables were current or less than 30 days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aging analysis of our credit card receivables for the periods presented and the delinquency aging includes all past due principal on credit card receivables (in thousands):</w:t>
      </w:r>
    </w:p>
    <w:p>
      <w:pPr>
        <w:pStyle w:val="TextBody"/>
        <w:bidi w:val="0"/>
        <w:spacing w:before="0" w:after="0"/>
        <w:jc w:val="both"/>
        <w:rPr/>
      </w:pPr>
      <w:r>
        <w:rPr/>
      </w:r>
    </w:p>
    <w:tbl>
      <w:tblPr>
        <w:tblW w:w="9204" w:type="dxa"/>
        <w:jc w:val="left"/>
        <w:tblInd w:w="0" w:type="dxa"/>
        <w:tblLayout w:type="fixed"/>
        <w:tblCellMar>
          <w:top w:w="28" w:type="dxa"/>
          <w:left w:w="28" w:type="dxa"/>
          <w:bottom w:w="28" w:type="dxa"/>
          <w:right w:w="28" w:type="dxa"/>
        </w:tblCellMar>
      </w:tblPr>
      <w:tblGrid>
        <w:gridCol w:w="889"/>
        <w:gridCol w:w="782"/>
        <w:gridCol w:w="787"/>
        <w:gridCol w:w="203"/>
        <w:gridCol w:w="763"/>
        <w:gridCol w:w="113"/>
        <w:gridCol w:w="203"/>
        <w:gridCol w:w="670"/>
        <w:gridCol w:w="113"/>
        <w:gridCol w:w="237"/>
        <w:gridCol w:w="673"/>
        <w:gridCol w:w="131"/>
        <w:gridCol w:w="445"/>
        <w:gridCol w:w="1470"/>
        <w:gridCol w:w="248"/>
        <w:gridCol w:w="266"/>
        <w:gridCol w:w="1002"/>
        <w:gridCol w:w="209"/>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&lt;90 Days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w:t>
            </w:r>
            <w:r>
              <w:rPr>
                <w:rFonts w:ascii="Times New Roman;serif" w:hAnsi="Times New Roman;serif"/>
                <w:b/>
                <w:color w:val="000000"/>
                <w:sz w:val="18"/>
              </w:rPr>
              <w:t>90 Days</w:t>
            </w:r>
            <w:r>
              <w:rPr>
                <w:rFonts w:ascii="Times New Roman;serif" w:hAnsi="Times New Roman;serif"/>
                <w:b/>
                <w:color w:val="000000"/>
                <w:sz w:val="12"/>
              </w:rPr>
              <w:t>(1)</w:t>
            </w:r>
          </w:p>
        </w:tc>
        <w:tc>
          <w:tcPr>
            <w:tcW w:w="2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past due receivables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receivables</w:t>
            </w:r>
          </w:p>
        </w:tc>
      </w:tr>
      <w:tr>
        <w:trPr/>
        <w:tc>
          <w:tcPr>
            <w:tcW w:w="2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Credit card receivables</w:t>
            </w:r>
            <w:r>
              <w:rPr>
                <w:rFonts w:ascii="Times New Roman;serif" w:hAnsi="Times New Roman;serif"/>
                <w:b w:val="false"/>
                <w:color w:val="000000"/>
                <w:sz w:val="12"/>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29,984 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pledged</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185,739 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credit card receivables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23,691 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215,723 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20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Credit card receivables 90 days or more past due continue to accrue interest, as credit card receivables are not placed on nonaccrual status prior to write-off.</w:t>
            </w:r>
          </w:p>
        </w:tc>
      </w:tr>
      <w:tr>
        <w:trPr/>
        <w:tc>
          <w:tcPr>
            <w:tcW w:w="9204"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disputed receivables of $3.8 million.</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&lt;90 Days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w:t>
            </w:r>
            <w:r>
              <w:rPr>
                <w:rFonts w:ascii="Times New Roman;serif" w:hAnsi="Times New Roman;serif"/>
                <w:b/>
                <w:color w:val="000000"/>
                <w:sz w:val="18"/>
              </w:rPr>
              <w:t>90 Days</w:t>
            </w:r>
            <w:r>
              <w:rPr>
                <w:rFonts w:ascii="Times New Roman;serif" w:hAnsi="Times New Roman;serif"/>
                <w:b/>
                <w:color w:val="000000"/>
                <w:sz w:val="12"/>
              </w:rPr>
              <w:t>(1)</w:t>
            </w:r>
          </w:p>
        </w:tc>
        <w:tc>
          <w:tcPr>
            <w:tcW w:w="2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past due receivables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receivables</w:t>
            </w:r>
          </w:p>
        </w:tc>
      </w:tr>
      <w:tr>
        <w:trPr/>
        <w:tc>
          <w:tcPr>
            <w:tcW w:w="2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Credit card receivables</w:t>
            </w:r>
            <w:r>
              <w:rPr>
                <w:rFonts w:ascii="Times New Roman;serif" w:hAnsi="Times New Roman;serif"/>
                <w:b w:val="false"/>
                <w:color w:val="000000"/>
                <w:sz w:val="12"/>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29,345 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pledged</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credit card receivables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218,244 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4"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Credit card receivables 90 days or more past due continue to accrue interest, as credit card receivables are not placed on nonaccrual status prior to write-off.</w:t>
            </w:r>
          </w:p>
        </w:tc>
      </w:tr>
      <w:tr>
        <w:trPr/>
        <w:tc>
          <w:tcPr>
            <w:tcW w:w="9204"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disputed receivables of $1.7 million.</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the Company’s assets and liabilities measured and recorded at fair value on a recurring basis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tbl>
      <w:tblPr>
        <w:tblW w:w="8419" w:type="dxa"/>
        <w:jc w:val="left"/>
        <w:tblInd w:w="0" w:type="dxa"/>
        <w:tblLayout w:type="fixed"/>
        <w:tblCellMar>
          <w:top w:w="28" w:type="dxa"/>
          <w:left w:w="28" w:type="dxa"/>
          <w:bottom w:w="28" w:type="dxa"/>
          <w:right w:w="28" w:type="dxa"/>
        </w:tblCellMar>
      </w:tblPr>
      <w:tblGrid>
        <w:gridCol w:w="1199"/>
        <w:gridCol w:w="1053"/>
        <w:gridCol w:w="1064"/>
        <w:gridCol w:w="209"/>
        <w:gridCol w:w="786"/>
        <w:gridCol w:w="116"/>
        <w:gridCol w:w="116"/>
        <w:gridCol w:w="116"/>
        <w:gridCol w:w="116"/>
        <w:gridCol w:w="209"/>
        <w:gridCol w:w="690"/>
        <w:gridCol w:w="116"/>
        <w:gridCol w:w="116"/>
        <w:gridCol w:w="116"/>
        <w:gridCol w:w="116"/>
        <w:gridCol w:w="209"/>
        <w:gridCol w:w="449"/>
        <w:gridCol w:w="116"/>
        <w:gridCol w:w="116"/>
        <w:gridCol w:w="116"/>
        <w:gridCol w:w="116"/>
        <w:gridCol w:w="209"/>
        <w:gridCol w:w="786"/>
        <w:gridCol w:w="164"/>
      </w:tblGrid>
      <w:tr>
        <w:trPr/>
        <w:tc>
          <w:tcPr>
            <w:tcW w:w="119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equivalents: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assets</w:t>
            </w:r>
            <w:r>
              <w:rPr>
                <w:rFonts w:ascii="Times New Roman;serif" w:hAnsi="Times New Roman;serif"/>
                <w:b w:val="false"/>
                <w:color w:val="000000"/>
                <w:sz w:val="12"/>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assets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332,979 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333,557 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liabilities</w:t>
            </w:r>
            <w:r>
              <w:rPr>
                <w:rFonts w:ascii="Times New Roman;serif" w:hAnsi="Times New Roman;serif"/>
                <w:b w:val="false"/>
                <w:color w:val="000000"/>
                <w:sz w:val="12"/>
              </w:rPr>
              <w:t>(1)</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liabilities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59,972 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9"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Excludes the related host contracts which are not measured and recorded at fair value as of June 30, 2026 and are disclosed in the table below.</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8709" w:type="dxa"/>
        <w:jc w:val="left"/>
        <w:tblInd w:w="0" w:type="dxa"/>
        <w:tblLayout w:type="fixed"/>
        <w:tblCellMar>
          <w:top w:w="28" w:type="dxa"/>
          <w:left w:w="28" w:type="dxa"/>
          <w:bottom w:w="28" w:type="dxa"/>
          <w:right w:w="28" w:type="dxa"/>
        </w:tblCellMar>
      </w:tblPr>
      <w:tblGrid>
        <w:gridCol w:w="1225"/>
        <w:gridCol w:w="1077"/>
        <w:gridCol w:w="1087"/>
        <w:gridCol w:w="214"/>
        <w:gridCol w:w="803"/>
        <w:gridCol w:w="119"/>
        <w:gridCol w:w="119"/>
        <w:gridCol w:w="119"/>
        <w:gridCol w:w="119"/>
        <w:gridCol w:w="214"/>
        <w:gridCol w:w="803"/>
        <w:gridCol w:w="119"/>
        <w:gridCol w:w="119"/>
        <w:gridCol w:w="119"/>
        <w:gridCol w:w="119"/>
        <w:gridCol w:w="214"/>
        <w:gridCol w:w="459"/>
        <w:gridCol w:w="119"/>
        <w:gridCol w:w="119"/>
        <w:gridCol w:w="119"/>
        <w:gridCol w:w="119"/>
        <w:gridCol w:w="214"/>
        <w:gridCol w:w="803"/>
        <w:gridCol w:w="168"/>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equivalents: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assets</w:t>
            </w:r>
            <w:r>
              <w:rPr>
                <w:rFonts w:ascii="Times New Roman;serif" w:hAnsi="Times New Roman;serif"/>
                <w:b w:val="false"/>
                <w:color w:val="000000"/>
                <w:sz w:val="12"/>
              </w:rPr>
              <w:t>(1)</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463,444 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liabilities</w:t>
            </w:r>
            <w:r>
              <w:rPr>
                <w:rFonts w:ascii="Times New Roman;serif" w:hAnsi="Times New Roman;serif"/>
                <w:b w:val="false"/>
                <w:color w:val="000000"/>
                <w:sz w:val="12"/>
              </w:rPr>
              <w:t>(1)</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9"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Excludes the related host contracts which are not measured and recorded at fair value as of December 31, 2025 and are disclosed in the table below.</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for further details on the valuation methods and significant inputs of the Level 2 and Level 3 assets and liabilities identified in the Company's audited annual consolidated financial statements for the year ended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did not make any transfers in or out of Level 3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roll-forward of Level 3 investments measured and recorded at fair value on a recurring basis (in thousands):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Investments - Warrants</w:t>
      </w:r>
    </w:p>
    <w:tbl>
      <w:tblPr>
        <w:tblW w:w="8910" w:type="dxa"/>
        <w:jc w:val="left"/>
        <w:tblInd w:w="0" w:type="dxa"/>
        <w:tblLayout w:type="fixed"/>
        <w:tblCellMar>
          <w:top w:w="28" w:type="dxa"/>
          <w:left w:w="28" w:type="dxa"/>
          <w:bottom w:w="28" w:type="dxa"/>
          <w:right w:w="28" w:type="dxa"/>
        </w:tblCellMar>
      </w:tblPr>
      <w:tblGrid>
        <w:gridCol w:w="1318"/>
        <w:gridCol w:w="1161"/>
        <w:gridCol w:w="1166"/>
        <w:gridCol w:w="271"/>
        <w:gridCol w:w="583"/>
        <w:gridCol w:w="151"/>
        <w:gridCol w:w="151"/>
        <w:gridCol w:w="151"/>
        <w:gridCol w:w="151"/>
        <w:gridCol w:w="271"/>
        <w:gridCol w:w="562"/>
        <w:gridCol w:w="151"/>
        <w:gridCol w:w="109"/>
        <w:gridCol w:w="109"/>
        <w:gridCol w:w="109"/>
        <w:gridCol w:w="248"/>
        <w:gridCol w:w="533"/>
        <w:gridCol w:w="138"/>
        <w:gridCol w:w="138"/>
        <w:gridCol w:w="138"/>
        <w:gridCol w:w="138"/>
        <w:gridCol w:w="248"/>
        <w:gridCol w:w="514"/>
        <w:gridCol w:w="138"/>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Investments - Convertible Notes</w:t>
      </w:r>
    </w:p>
    <w:tbl>
      <w:tblPr>
        <w:tblW w:w="10205" w:type="dxa"/>
        <w:jc w:val="left"/>
        <w:tblInd w:w="0" w:type="dxa"/>
        <w:tblLayout w:type="fixed"/>
        <w:tblCellMar>
          <w:top w:w="28" w:type="dxa"/>
          <w:left w:w="28" w:type="dxa"/>
          <w:bottom w:w="28" w:type="dxa"/>
          <w:right w:w="28" w:type="dxa"/>
        </w:tblCellMar>
      </w:tblPr>
      <w:tblGrid>
        <w:gridCol w:w="1815"/>
        <w:gridCol w:w="1573"/>
        <w:gridCol w:w="1578"/>
        <w:gridCol w:w="228"/>
        <w:gridCol w:w="473"/>
        <w:gridCol w:w="127"/>
        <w:gridCol w:w="127"/>
        <w:gridCol w:w="127"/>
        <w:gridCol w:w="127"/>
        <w:gridCol w:w="228"/>
        <w:gridCol w:w="858"/>
        <w:gridCol w:w="127"/>
        <w:gridCol w:w="109"/>
        <w:gridCol w:w="109"/>
        <w:gridCol w:w="109"/>
        <w:gridCol w:w="209"/>
        <w:gridCol w:w="434"/>
        <w:gridCol w:w="116"/>
        <w:gridCol w:w="116"/>
        <w:gridCol w:w="116"/>
        <w:gridCol w:w="116"/>
        <w:gridCol w:w="209"/>
        <w:gridCol w:w="788"/>
        <w:gridCol w:w="116"/>
        <w:gridCol w:w="109"/>
        <w:gridCol w:w="161"/>
      </w:tblGrid>
      <w:tr>
        <w:trPr/>
        <w:tc>
          <w:tcPr>
            <w:tcW w:w="181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related party convertible notes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259,693 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OCI - Change in fair value attributable to instrument-specific credit risk</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attributable to change in fair value</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related party convertible notes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273,454 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273,454 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br/>
      </w:r>
      <w:r>
        <w:rPr>
          <w:rFonts w:ascii="Times New Roman;serif" w:hAnsi="Times New Roman;serif"/>
          <w:b/>
          <w:i/>
          <w:color w:val="000000"/>
          <w:sz w:val="20"/>
        </w:rPr>
        <w:t>Level 3 Investments - Term Loans</w:t>
      </w:r>
    </w:p>
    <w:tbl>
      <w:tblPr>
        <w:tblW w:w="10205" w:type="dxa"/>
        <w:jc w:val="left"/>
        <w:tblInd w:w="0" w:type="dxa"/>
        <w:tblLayout w:type="fixed"/>
        <w:tblCellMar>
          <w:top w:w="28" w:type="dxa"/>
          <w:left w:w="28" w:type="dxa"/>
          <w:bottom w:w="28" w:type="dxa"/>
          <w:right w:w="28" w:type="dxa"/>
        </w:tblCellMar>
      </w:tblPr>
      <w:tblGrid>
        <w:gridCol w:w="1816"/>
        <w:gridCol w:w="1572"/>
        <w:gridCol w:w="1578"/>
        <w:gridCol w:w="228"/>
        <w:gridCol w:w="473"/>
        <w:gridCol w:w="127"/>
        <w:gridCol w:w="127"/>
        <w:gridCol w:w="127"/>
        <w:gridCol w:w="127"/>
        <w:gridCol w:w="228"/>
        <w:gridCol w:w="858"/>
        <w:gridCol w:w="127"/>
        <w:gridCol w:w="109"/>
        <w:gridCol w:w="109"/>
        <w:gridCol w:w="109"/>
        <w:gridCol w:w="209"/>
        <w:gridCol w:w="434"/>
        <w:gridCol w:w="116"/>
        <w:gridCol w:w="116"/>
        <w:gridCol w:w="116"/>
        <w:gridCol w:w="116"/>
        <w:gridCol w:w="209"/>
        <w:gridCol w:w="788"/>
        <w:gridCol w:w="116"/>
        <w:gridCol w:w="109"/>
        <w:gridCol w:w="161"/>
      </w:tblGrid>
      <w:tr>
        <w:trPr/>
        <w:tc>
          <w:tcPr>
            <w:tcW w:w="181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related party term loans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354,304 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237,209 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OCI - Change in fair value attributable to instrument-specific credit risk</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attributable to change in fair value</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related party term loans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514,868 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514,868 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the Company fair valued its convertible notes and convertible term loans utilizing a scenario-based approach that considered various conversion and repayment scenarios, along with a discounted cash flow analysis, which was used to determine the value of an investment today based on projections of future cash flows. The significant input utilized in the discounted cash flow analysis included the discount rate which ranged from 19.5% - 21.7% for the three and six months ended June 30, 2025. Upon the IPO, convertible notes and related party term loans converted to equity and were no longer outstanding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measured and recorded at fair value on a non-recurring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and liabilities, such as intangible assets, software, property and equipment, and lease right-of-use assets, are adjusted to fair value on a non-recurring basis when an impairment charge is recognized. The fair value used in assessing an impairment for these assets are largely based on Level 2 or Level 3 inputs.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Company’s strategic investments are also measured at fair value on a non-recurring basis. Such fair value measurements are based predominantly on Level 3 inputs such as the recent transaction price involving the same or similar investment, and are adjusted as necessary to reflect relevant market conditions and investment-specific factors. Refer to </w:t>
      </w:r>
      <w:hyperlink w:anchor="i0f118e29cc764f009862005db1c0e645_217">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9.</w:t>
      </w:r>
      <w:hyperlink w:anchor="i0f118e29cc764f009862005db1c0e645_217">
        <w:r>
          <w:rPr>
            <w:rStyle w:val="InternetLink"/>
            <w:rFonts w:ascii="Times New Roman;serif" w:hAnsi="Times New Roman;serif"/>
            <w:b w:val="false"/>
            <w:i/>
            <w:strike w:val="false"/>
            <w:dstrike w:val="false"/>
            <w:color w:val="000000"/>
            <w:sz w:val="20"/>
            <w:u w:val="none"/>
            <w:effect w:val="none"/>
          </w:rPr>
          <w:t xml:space="preserve"> Prepaid Expenses and Other Assets</w:t>
        </w:r>
      </w:hyperlink>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not measured and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estimated fair values of the Company's financial assets and financial liabilities that are measured at amortized cost, and are not required to be carried at fair value on a recurring basis, as of June 30, 2026 and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58"/>
        <w:gridCol w:w="1621"/>
        <w:gridCol w:w="162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5"/>
      </w:tblGrid>
      <w:tr>
        <w:trPr/>
        <w:tc>
          <w:tcPr>
            <w:tcW w:w="185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769,756 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454,588 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 party loans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876,441 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total carrying value is equal to the total estimated fair value for all financial assets and liabilities.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the embedded derivatives which are measured and recorded at fair value as of June 30, 2026 and are disclosed in the table above.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1858"/>
        <w:gridCol w:w="1621"/>
        <w:gridCol w:w="162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5"/>
      </w:tblGrid>
      <w:tr>
        <w:trPr/>
        <w:tc>
          <w:tcPr>
            <w:tcW w:w="185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 party loans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total carrying value is equal to the total estimated fair value for all financial assets and liabilities.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the embedded derivatives which are measured and recorded at fair value as of December 31, 2025 and are disclosed in the table above.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values of financial assets and liabilities equal or approximate fair value because they are short-term in duration, have no defined maturity or have a floating interest 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credit card receivables to be Level 3 assets. While credit card receivables are short term in duration, the Company estimates their fair value using the current expected credit loss model, which incorporates unobservable inputs. Accordingly, Level 3 classification is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sheet impact of crypto asset options and futures not designated as hedges and measured at fair value as of June 30,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4"/>
        <w:gridCol w:w="958"/>
        <w:gridCol w:w="968"/>
        <w:gridCol w:w="591"/>
        <w:gridCol w:w="1677"/>
        <w:gridCol w:w="327"/>
        <w:gridCol w:w="219"/>
        <w:gridCol w:w="219"/>
        <w:gridCol w:w="219"/>
        <w:gridCol w:w="393"/>
        <w:gridCol w:w="847"/>
        <w:gridCol w:w="219"/>
        <w:gridCol w:w="219"/>
        <w:gridCol w:w="219"/>
        <w:gridCol w:w="219"/>
        <w:gridCol w:w="450"/>
        <w:gridCol w:w="1003"/>
        <w:gridCol w:w="364"/>
      </w:tblGrid>
      <w:tr>
        <w:trPr/>
        <w:tc>
          <w:tcPr>
            <w:tcW w:w="109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Gross Notional</w:t>
            </w:r>
            <w:r>
              <w:rPr>
                <w:rFonts w:ascii="Times New Roman;serif" w:hAnsi="Times New Roman;serif"/>
                <w:b/>
                <w:color w:val="000000"/>
                <w:sz w:val="12"/>
              </w:rPr>
              <w:t>(1)</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Gross notional amounts represent the U.S. Dollar denominated size of the underlying asset for the derivative instrument. They do not accurately reflect the Company's economic exposure as they do not reflect the Company's long and short derivative positions.</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sheet impact of crypto asset options and futures not designated as hedges and measured at fair value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6"/>
        <w:gridCol w:w="1067"/>
        <w:gridCol w:w="1077"/>
        <w:gridCol w:w="577"/>
        <w:gridCol w:w="1638"/>
        <w:gridCol w:w="319"/>
        <w:gridCol w:w="214"/>
        <w:gridCol w:w="214"/>
        <w:gridCol w:w="214"/>
        <w:gridCol w:w="385"/>
        <w:gridCol w:w="651"/>
        <w:gridCol w:w="214"/>
        <w:gridCol w:w="214"/>
        <w:gridCol w:w="214"/>
        <w:gridCol w:w="214"/>
        <w:gridCol w:w="497"/>
        <w:gridCol w:w="879"/>
        <w:gridCol w:w="401"/>
      </w:tblGrid>
      <w:tr>
        <w:trPr/>
        <w:tc>
          <w:tcPr>
            <w:tcW w:w="121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Gross Notional</w:t>
            </w:r>
            <w:r>
              <w:rPr>
                <w:rFonts w:ascii="Times New Roman;serif" w:hAnsi="Times New Roman;serif"/>
                <w:b/>
                <w:color w:val="000000"/>
                <w:sz w:val="12"/>
              </w:rPr>
              <w:t>(1)</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25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Gross notional amounts represent the U.S. Dollar denominated size of the underlying asset for the derivative instrument. They do not accurately reflect the Company's economic exposure as they do not reflect the Company's long and short derivative positions.</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w:t>
      </w:r>
      <w:r>
        <w:rPr>
          <w:color w:val="000000"/>
        </w:rPr>
        <w:t xml:space="preserve"> </w:t>
      </w:r>
      <w:r>
        <w:rPr>
          <w:rFonts w:ascii="Times New Roman;serif" w:hAnsi="Times New Roman;serif"/>
          <w:b w:val="false"/>
          <w:i/>
          <w:color w:val="000000"/>
          <w:sz w:val="20"/>
        </w:rPr>
        <w:t>6.</w:t>
      </w:r>
      <w:r>
        <w:rPr>
          <w:color w:val="000000"/>
        </w:rPr>
        <w:t xml:space="preserve">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 xml:space="preserve">for fair value details on embedded derivatives. During the three and six months ended June 30, 2026, the change in fair value of the embedded derivatives increased by $0.3 million and $0.2 million, respectively. During the three and six months ended June 30, 2025, the change in fair value of the embedded derivatives increased by $0.3 million and decreased by $0.2 million,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 (loss) on changes in the fair value of options and futures recorded in Other income (expense), net on the condensed consolidated statements of operations and comprehensive loss were as follows (in thousands): </w:t>
      </w:r>
    </w:p>
    <w:p>
      <w:pPr>
        <w:pStyle w:val="TextBody"/>
        <w:bidi w:val="0"/>
        <w:spacing w:before="0" w:after="0"/>
        <w:jc w:val="both"/>
        <w:rPr/>
      </w:pPr>
      <w:r>
        <w:rPr/>
      </w:r>
    </w:p>
    <w:tbl>
      <w:tblPr>
        <w:tblW w:w="6694" w:type="dxa"/>
        <w:jc w:val="left"/>
        <w:tblInd w:w="0" w:type="dxa"/>
        <w:tblLayout w:type="fixed"/>
        <w:tblCellMar>
          <w:top w:w="28" w:type="dxa"/>
          <w:left w:w="28" w:type="dxa"/>
          <w:bottom w:w="28" w:type="dxa"/>
          <w:right w:w="28" w:type="dxa"/>
        </w:tblCellMar>
      </w:tblPr>
      <w:tblGrid>
        <w:gridCol w:w="571"/>
        <w:gridCol w:w="500"/>
        <w:gridCol w:w="504"/>
        <w:gridCol w:w="262"/>
        <w:gridCol w:w="664"/>
        <w:gridCol w:w="145"/>
        <w:gridCol w:w="262"/>
        <w:gridCol w:w="965"/>
        <w:gridCol w:w="145"/>
        <w:gridCol w:w="109"/>
        <w:gridCol w:w="109"/>
        <w:gridCol w:w="109"/>
        <w:gridCol w:w="196"/>
        <w:gridCol w:w="646"/>
        <w:gridCol w:w="109"/>
        <w:gridCol w:w="109"/>
        <w:gridCol w:w="109"/>
        <w:gridCol w:w="109"/>
        <w:gridCol w:w="196"/>
        <w:gridCol w:w="72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(13,257)</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below table represents the breakdown of crypto asset collateral associated with derivative positions (in thousands):</w:t>
      </w:r>
    </w:p>
    <w:tbl>
      <w:tblPr>
        <w:tblW w:w="8275" w:type="dxa"/>
        <w:jc w:val="left"/>
        <w:tblInd w:w="0" w:type="dxa"/>
        <w:tblLayout w:type="fixed"/>
        <w:tblCellMar>
          <w:top w:w="28" w:type="dxa"/>
          <w:left w:w="28" w:type="dxa"/>
          <w:bottom w:w="28" w:type="dxa"/>
          <w:right w:w="28" w:type="dxa"/>
        </w:tblCellMar>
      </w:tblPr>
      <w:tblGrid>
        <w:gridCol w:w="1886"/>
        <w:gridCol w:w="1653"/>
        <w:gridCol w:w="1665"/>
        <w:gridCol w:w="263"/>
        <w:gridCol w:w="746"/>
        <w:gridCol w:w="146"/>
        <w:gridCol w:w="109"/>
        <w:gridCol w:w="109"/>
        <w:gridCol w:w="109"/>
        <w:gridCol w:w="343"/>
        <w:gridCol w:w="976"/>
        <w:gridCol w:w="270"/>
      </w:tblGrid>
      <w:tr>
        <w:trPr/>
        <w:tc>
          <w:tcPr>
            <w:tcW w:w="188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 as collateral meeting the recognition criteria</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 as collateral not meeting the recognition criteria</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pledged as collateral not meeting the derecognition criteria</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Crypto Assets Held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crypto assets held at fair value by the Company (in thousands except for units):</w:t>
      </w:r>
    </w:p>
    <w:p>
      <w:pPr>
        <w:pStyle w:val="TextBody"/>
        <w:bidi w:val="0"/>
        <w:spacing w:before="0" w:after="0"/>
        <w:jc w:val="both"/>
        <w:rPr/>
      </w:pPr>
      <w:r>
        <w:rPr/>
      </w:r>
    </w:p>
    <w:tbl>
      <w:tblPr>
        <w:tblW w:w="5252" w:type="dxa"/>
        <w:jc w:val="left"/>
        <w:tblInd w:w="0" w:type="dxa"/>
        <w:tblLayout w:type="fixed"/>
        <w:tblCellMar>
          <w:top w:w="28" w:type="dxa"/>
          <w:left w:w="28" w:type="dxa"/>
          <w:bottom w:w="28" w:type="dxa"/>
          <w:right w:w="28" w:type="dxa"/>
        </w:tblCellMar>
      </w:tblPr>
      <w:tblGrid>
        <w:gridCol w:w="628"/>
        <w:gridCol w:w="554"/>
        <w:gridCol w:w="557"/>
        <w:gridCol w:w="278"/>
        <w:gridCol w:w="278"/>
        <w:gridCol w:w="176"/>
        <w:gridCol w:w="109"/>
        <w:gridCol w:w="109"/>
        <w:gridCol w:w="109"/>
        <w:gridCol w:w="196"/>
        <w:gridCol w:w="736"/>
        <w:gridCol w:w="109"/>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not meaningful</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52" w:type="dxa"/>
        <w:jc w:val="left"/>
        <w:tblInd w:w="0" w:type="dxa"/>
        <w:tblLayout w:type="fixed"/>
        <w:tblCellMar>
          <w:top w:w="28" w:type="dxa"/>
          <w:left w:w="28" w:type="dxa"/>
          <w:bottom w:w="28" w:type="dxa"/>
          <w:right w:w="28" w:type="dxa"/>
        </w:tblCellMar>
      </w:tblPr>
      <w:tblGrid>
        <w:gridCol w:w="628"/>
        <w:gridCol w:w="554"/>
        <w:gridCol w:w="557"/>
        <w:gridCol w:w="278"/>
        <w:gridCol w:w="278"/>
        <w:gridCol w:w="176"/>
        <w:gridCol w:w="109"/>
        <w:gridCol w:w="109"/>
        <w:gridCol w:w="109"/>
        <w:gridCol w:w="196"/>
        <w:gridCol w:w="736"/>
        <w:gridCol w:w="109"/>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7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not meaningful</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the Company's crypto assets held measured at fair value (in thousands):</w:t>
      </w:r>
    </w:p>
    <w:tbl>
      <w:tblPr>
        <w:tblW w:w="10205" w:type="dxa"/>
        <w:jc w:val="left"/>
        <w:tblInd w:w="0" w:type="dxa"/>
        <w:tblLayout w:type="fixed"/>
        <w:tblCellMar>
          <w:top w:w="28" w:type="dxa"/>
          <w:left w:w="28" w:type="dxa"/>
          <w:bottom w:w="28" w:type="dxa"/>
          <w:right w:w="28" w:type="dxa"/>
        </w:tblCellMar>
      </w:tblPr>
      <w:tblGrid>
        <w:gridCol w:w="1047"/>
        <w:gridCol w:w="875"/>
        <w:gridCol w:w="878"/>
        <w:gridCol w:w="289"/>
        <w:gridCol w:w="1086"/>
        <w:gridCol w:w="160"/>
        <w:gridCol w:w="160"/>
        <w:gridCol w:w="160"/>
        <w:gridCol w:w="160"/>
        <w:gridCol w:w="289"/>
        <w:gridCol w:w="953"/>
        <w:gridCol w:w="160"/>
        <w:gridCol w:w="160"/>
        <w:gridCol w:w="160"/>
        <w:gridCol w:w="160"/>
        <w:gridCol w:w="289"/>
        <w:gridCol w:w="953"/>
        <w:gridCol w:w="160"/>
        <w:gridCol w:w="160"/>
        <w:gridCol w:w="160"/>
        <w:gridCol w:w="160"/>
        <w:gridCol w:w="290"/>
        <w:gridCol w:w="1093"/>
        <w:gridCol w:w="243"/>
      </w:tblGrid>
      <w:tr>
        <w:trPr/>
        <w:tc>
          <w:tcPr>
            <w:tcW w:w="104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Bitcoin</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Ether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2024</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470,101 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Addition of crypto assets</w:t>
            </w:r>
            <w:r>
              <w:rPr>
                <w:rFonts w:ascii="Times New Roman;serif" w:hAnsi="Times New Roman;serif"/>
                <w:b w:val="false"/>
                <w:color w:val="000000"/>
                <w:sz w:val="12"/>
              </w:rPr>
              <w:t>(1)(2)</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696,251 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430,434 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1,166,378 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Disposition of crypto assets</w:t>
            </w:r>
            <w:r>
              <w:rPr>
                <w:rFonts w:ascii="Times New Roman;serif" w:hAnsi="Times New Roman;serif"/>
                <w:b w:val="false"/>
                <w:color w:val="000000"/>
                <w:sz w:val="12"/>
              </w:rPr>
              <w:t>(1)(2)</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(640,120)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(441,969)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(1,121,186)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Realized gain on crypto assets</w:t>
            </w:r>
            <w:r>
              <w:rPr>
                <w:rFonts w:ascii="Times New Roman;serif" w:hAnsi="Times New Roman;serif"/>
                <w:b w:val="false"/>
                <w:color w:val="000000"/>
                <w:sz w:val="12"/>
              </w:rPr>
              <w:t>(3)</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116,174 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crypto assets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gain (loss) on crypto assets</w:t>
            </w:r>
            <w:r>
              <w:rPr>
                <w:rFonts w:ascii="Times New Roman;serif" w:hAnsi="Times New Roman;serif"/>
                <w:b w:val="false"/>
                <w:color w:val="000000"/>
                <w:sz w:val="12"/>
              </w:rPr>
              <w:t>(4)</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(145,145)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 of crypto assets</w:t>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350,287 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24,259 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381,387 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Disposition of crypto assets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(293,068)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(328,264)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Realized gain on crypto assets</w:t>
            </w:r>
            <w:r>
              <w:rPr>
                <w:rFonts w:ascii="Times New Roman;serif" w:hAnsi="Times New Roman;serif"/>
                <w:b w:val="false"/>
                <w:color w:val="000000"/>
                <w:sz w:val="12"/>
              </w:rPr>
              <w:t>(3)</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crypto assets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(103,947)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gain (loss) on crypto assets</w:t>
            </w:r>
            <w:r>
              <w:rPr>
                <w:rFonts w:ascii="Times New Roman;serif" w:hAnsi="Times New Roman;serif"/>
                <w:b w:val="false"/>
                <w:color w:val="000000"/>
                <w:sz w:val="12"/>
              </w:rPr>
              <w:t>(4)</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(61,535)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June 30, 2026</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331,048 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5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4"/>
              </w:rPr>
              <w:t xml:space="preserve">(1) Includes acquisitions of 1,434 Bitcoin and 86,321 Ether totaling $435.1 million and dispositions of 505 Bitcoin and 61,696 Ether totaling $192.4 million to manage collateral obligation under its loan agreements as of December 31, 2025. Refer to </w:t>
            </w:r>
            <w:r>
              <w:rPr>
                <w:rFonts w:ascii="Times New Roman;serif" w:hAnsi="Times New Roman;serif"/>
                <w:b w:val="false"/>
                <w:i/>
                <w:color w:val="000000"/>
                <w:sz w:val="14"/>
              </w:rPr>
              <w:t xml:space="preserve">Note 2. Summary of Significant Accounting Policies </w:t>
            </w:r>
            <w:r>
              <w:rPr>
                <w:rFonts w:ascii="Times New Roman;serif" w:hAnsi="Times New Roman;serif"/>
                <w:b w:val="false"/>
                <w:color w:val="000000"/>
                <w:sz w:val="14"/>
              </w:rPr>
              <w:t>of the Company’s Annual Report on Form 10-K</w:t>
            </w:r>
            <w:r>
              <w:rPr>
                <w:color w:val="000000"/>
              </w:rPr>
              <w:t xml:space="preserve"> </w:t>
            </w:r>
            <w:r>
              <w:rPr>
                <w:rFonts w:ascii="Times New Roman;serif" w:hAnsi="Times New Roman;serif"/>
                <w:b w:val="false"/>
                <w:color w:val="000000"/>
                <w:sz w:val="14"/>
              </w:rPr>
              <w:t xml:space="preserve">for further details. </w:t>
            </w:r>
          </w:p>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Beginning in the third quarter of 2025, the Company began using certain customer collateral received under its rehypothecation rights. As a result, these assets are now presented in Crypto assets held on the condensed consolidated balance sheets. In prior periods, these assets were included in Prepaid expenses and other current assets on the condensed consolidated balance sheets. Included in acquisitions is 132 Bitcoin totaling $11.5 million and in dispositions 5 Bitcoin and 1 Ether and Other crypto assets totaling $0.6 million related to customer collateral received under rehypothecation rights as of December 31, 2025.</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Excludes realized gain on Receivable, crypto assets pledged of $0 and $117.4 million as of June 30, 2026 and December 31, 2025, respectively.</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(4) Excludes unrealized loss on Receivable, crypto assets pledged of $0 and $43.0 million as of June 30, 2026 and December 31, 2025, respectively.</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Crypto assets held by the Company are measured at fair value on a recurring basis using quoted prices in active markets and are classified as Level 1 within the fair value hierarchy. Restricted crypto assets are also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Crypto assets held on the consolidated balance sheets. Restrictions on use do not affect the Company’s ability to recognize these crypto assets when control is retained.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holds crypto assets primarily for operational purposes, including to support transaction processing, satisfy liquidity coverage and regulatory capital requirements for certain regulated subsidiaries, and meet collateral requirements under financing and other contractual arrangements. The Company acquires crypto assets through a variety of transactions, including through related party loans, revenue denominated in crypto assets and direct purchases of crypto assets. The Company disposes of crypto assets through repayments of principal and interest on related party crypto loans, sales of crypto assets and the settlement of 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Crypto assets are initially recorded at their fair value at the time of acquisition, which represents their cost basis. Gains and losses on disposal are determined using the first-in-first-out (“FIFO”) method.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subsidiaries of the Company are required to maintain surety bonds in connection with money transmitter licenses. In connection with these requirements, the Company has designated 623 bitcoin, with a fair value of $36.5 million, as collateral to insurance providers, which is reassessed on an annual basis.</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June 30, 2026 and December 31, 2025, the Company held 971 bitcoin and 2,721 bitcoin, respectively, with a fair value of $56.8 million and $237.1 million, respectively, that are restricted in use under the terms of certain related party crypto asset loan agreements. These crypto assets are designated and maintained to satisfy regulatory capital requirements and the restrictions remain in effect while the related party crypto asset loan agreements are outstanding. The restrictions may lapse upon repayment or termination of the loans, or other contractual modifications. This bitcoin is included in the Company's related party crypto asset loan with a December 29, 2022, draw date as described in </w:t>
      </w:r>
      <w:r>
        <w:rPr>
          <w:rFonts w:ascii="Times New Roman;serif" w:hAnsi="Times New Roman;serif"/>
          <w:b w:val="false"/>
          <w:i/>
          <w:color w:val="000000"/>
          <w:sz w:val="20"/>
        </w:rPr>
        <w:t>Note 14. Related Party Loans and Convertible Notes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addition, as of June 30, 2026 and December 31, 2025, the Company held 2,825 bitcoin and 1,275 bitcoin, respectively, with a fair value of $165.4 million and $111.1 million, respectively, that are restricted in use under the terms of certain related party crypto asset loan agreements. These crypto assets are designated and maintained to satisfy agreed upon collateral requirements with third parties. Because the Company retains control over these assets and the counterparty is not permitted to sell, pledge, rehypothecate, or otherwise use the assets, the restricted crypto assets continue to be recognized within Crypto assets held on the consolidated balance sheets. This bitcoin is included in the Company's related party crypto asset loans with draw dates of June 30, 2026, and July 24, 2025, respectively, as described in </w:t>
      </w:r>
      <w:r>
        <w:rPr>
          <w:rFonts w:ascii="Times New Roman;serif" w:hAnsi="Times New Roman;serif"/>
          <w:b w:val="false"/>
          <w:i/>
          <w:color w:val="000000"/>
          <w:sz w:val="20"/>
        </w:rPr>
        <w:t>Note 14. Related Party Loans and Convertible Notes</w:t>
      </w:r>
      <w:r>
        <w:rPr>
          <w:rFonts w:ascii="Times New Roman;serif" w:hAnsi="Times New Roman;serif"/>
          <w:b w:val="false"/>
          <w:color w:val="000000"/>
          <w:sz w:val="20"/>
        </w:rPr>
        <w:t>.</w:t>
      </w:r>
    </w:p>
    <w:p>
      <w:pPr>
        <w:pStyle w:val="TextBody"/>
        <w:bidi w:val="0"/>
        <w:spacing w:before="0" w:after="0"/>
        <w:ind w:left="0" w:right="0" w:firstLine="90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three months ended June 30, 2026, the Company received approximately 1,258 bitcoin as consideration for the issuance of Class A common stock in a private placement (the “Private Placement”). The bitcoin received was initially recognized at its fair value on the transaction date, which established its cost basis. A portion of the bitcoin was subsequently sold during the three months ended June 30, 2026, to fund operating activities. As of June 30, 2026, the Company held 988 bitcoin with a fair value of $57.9 million. See </w:t>
      </w:r>
      <w:r>
        <w:rPr>
          <w:rFonts w:ascii="Times New Roman;serif" w:hAnsi="Times New Roman;serif"/>
          <w:b w:val="false"/>
          <w:i/>
          <w:color w:val="000000"/>
          <w:sz w:val="20"/>
        </w:rPr>
        <w:t xml:space="preserve">Notes 17. Stockholders' Equity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21. Related Party Transactions</w:t>
      </w:r>
      <w:r>
        <w:rPr>
          <w:rFonts w:ascii="Times New Roman;serif" w:hAnsi="Times New Roman;serif"/>
          <w:b w:val="false"/>
          <w:color w:val="000000"/>
          <w:sz w:val="20"/>
        </w:rPr>
        <w:t>, for additional information regarding the private placement.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Prepaid Expenses and Other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4"/>
        <w:gridCol w:w="1467"/>
        <w:gridCol w:w="1478"/>
        <w:gridCol w:w="433"/>
        <w:gridCol w:w="1431"/>
        <w:gridCol w:w="241"/>
        <w:gridCol w:w="197"/>
        <w:gridCol w:w="197"/>
        <w:gridCol w:w="197"/>
        <w:gridCol w:w="532"/>
        <w:gridCol w:w="1765"/>
        <w:gridCol w:w="433"/>
      </w:tblGrid>
      <w:tr>
        <w:trPr/>
        <w:tc>
          <w:tcPr>
            <w:tcW w:w="183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collateral pledged</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Stablecoin</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clearing advance</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receivables</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prepaid expenses and other current assets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non-current assets </w:t>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 net</w:t>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derivative</w:t>
            </w:r>
            <w:r>
              <w:rPr>
                <w:rFonts w:ascii="Times New Roman;serif" w:hAnsi="Times New Roman;serif"/>
                <w:b w:val="false"/>
                <w:color w:val="000000"/>
                <w:sz w:val="12"/>
              </w:rPr>
              <w:t>(1)</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receivable</w:t>
            </w:r>
            <w:r>
              <w:rPr>
                <w:rFonts w:ascii="Times New Roman;serif" w:hAnsi="Times New Roman;serif"/>
                <w:b w:val="false"/>
                <w:color w:val="000000"/>
                <w:sz w:val="12"/>
              </w:rPr>
              <w:t>(2)</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non-current assets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Warrant derivative represents the vested warrants received in connection with an advisory agreement. The vested warrants meet the definition of a derivative under ASC 815, </w:t>
            </w:r>
            <w:r>
              <w:rPr>
                <w:rFonts w:ascii="Times New Roman;serif" w:hAnsi="Times New Roman;serif"/>
                <w:b w:val="false"/>
                <w:i/>
                <w:color w:val="000000"/>
                <w:sz w:val="14"/>
              </w:rPr>
              <w:t>Derivatives and Hedging</w:t>
            </w:r>
            <w:r>
              <w:rPr>
                <w:rFonts w:ascii="Times New Roman;serif" w:hAnsi="Times New Roman;serif"/>
                <w:b w:val="false"/>
                <w:color w:val="000000"/>
                <w:sz w:val="14"/>
              </w:rPr>
              <w:t xml:space="preserve">, and are subject to fair value adjustments. As of both June 30, 2026 and December 31, 2025, 40% of the warrants' vesting conditions had been met. Refer to </w:t>
            </w:r>
            <w:r>
              <w:rPr>
                <w:rFonts w:ascii="Times New Roman;serif" w:hAnsi="Times New Roman;serif"/>
                <w:b w:val="false"/>
                <w:i/>
                <w:color w:val="000000"/>
                <w:sz w:val="14"/>
              </w:rPr>
              <w:t>Note 6. Fair Value Measurements.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The warrant receivable represents a contract asset initially measured at fair value of $10.8 million. As of both June 30, 2026 and December 31, 2025, $4.3 million had vested, resulting in a remaining contract asset of $6.5 million.</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Measurement alternative investments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investments under the measurement alternative method whereby they are measured at cost, less impairment, subject to upward and downward adjustments resulting from observable price changes for identical or similar investments of the same issuer. The changes in the carrying value of strategic investments are accounted for under the measurement alternative are presented below (in thousands):</w:t>
      </w:r>
    </w:p>
    <w:p>
      <w:pPr>
        <w:pStyle w:val="TextBody"/>
        <w:bidi w:val="0"/>
        <w:spacing w:before="0" w:after="0"/>
        <w:jc w:val="both"/>
        <w:rPr/>
      </w:pPr>
      <w:r>
        <w:rPr/>
      </w:r>
    </w:p>
    <w:tbl>
      <w:tblPr>
        <w:tblW w:w="7688" w:type="dxa"/>
        <w:jc w:val="left"/>
        <w:tblInd w:w="0" w:type="dxa"/>
        <w:tblLayout w:type="fixed"/>
        <w:tblCellMar>
          <w:top w:w="28" w:type="dxa"/>
          <w:left w:w="28" w:type="dxa"/>
          <w:bottom w:w="28" w:type="dxa"/>
          <w:right w:w="28" w:type="dxa"/>
        </w:tblCellMar>
      </w:tblPr>
      <w:tblGrid>
        <w:gridCol w:w="1585"/>
        <w:gridCol w:w="1392"/>
        <w:gridCol w:w="1399"/>
        <w:gridCol w:w="297"/>
        <w:gridCol w:w="846"/>
        <w:gridCol w:w="164"/>
        <w:gridCol w:w="164"/>
        <w:gridCol w:w="164"/>
        <w:gridCol w:w="164"/>
        <w:gridCol w:w="297"/>
        <w:gridCol w:w="983"/>
        <w:gridCol w:w="233"/>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 beginning balance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reductions</w:t>
            </w:r>
            <w:r>
              <w:rPr>
                <w:rFonts w:ascii="Times New Roman;serif" w:hAnsi="Times New Roman;serif"/>
                <w:b w:val="false"/>
                <w:color w:val="000000"/>
                <w:sz w:val="12"/>
              </w:rPr>
              <w:t>(1)</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Upward adjustments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downward adjustments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 ending balance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Includes additions from purchases, reductions due to exits of securities and reclassifications due to changes to capital structure.</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Cumulative upward adjustments for strategic investments held were $4.5 million as of both June 30, 2026 and December 31, 2025. Cumulative impairments and downward adjustments were $1.6 million and $1.2 million as of June 30, 2026 and December 31, 2025, respectively. Upward adjustments, impairments, and downward adjustments are included in Other income (expense), net on the condensed consolidated statements of operations and comprehensive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Software, Property and Equipment,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Software, property and equipment, net consisted of the following (in thousands):</w:t>
      </w:r>
    </w:p>
    <w:tbl>
      <w:tblPr>
        <w:tblW w:w="6535" w:type="dxa"/>
        <w:jc w:val="left"/>
        <w:tblInd w:w="0" w:type="dxa"/>
        <w:tblLayout w:type="fixed"/>
        <w:tblCellMar>
          <w:top w:w="28" w:type="dxa"/>
          <w:left w:w="28" w:type="dxa"/>
          <w:bottom w:w="28" w:type="dxa"/>
          <w:right w:w="28" w:type="dxa"/>
        </w:tblCellMar>
      </w:tblPr>
      <w:tblGrid>
        <w:gridCol w:w="1144"/>
        <w:gridCol w:w="1006"/>
        <w:gridCol w:w="1015"/>
        <w:gridCol w:w="262"/>
        <w:gridCol w:w="866"/>
        <w:gridCol w:w="146"/>
        <w:gridCol w:w="109"/>
        <w:gridCol w:w="109"/>
        <w:gridCol w:w="109"/>
        <w:gridCol w:w="346"/>
        <w:gridCol w:w="1147"/>
        <w:gridCol w:w="276"/>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other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67,988 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and depreciation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Software, property and equipment, net</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attributable to software, property, and equipment was $0.4 million and $0.9 million for the three and six months ended June 30, 2026, respectively. Depreciation expense attributable to software, property, and equipment was $0.4 million and $0.9 million for the three and six months ended June 30, 2025, respectively. Depreciation expense attributable to software, property, and equipment is reflected in General and administrative on the condensed consolidated statements of operations and comprehensive loss. Amortization expense attributable to software, property, and equipment was $1.3 million and $2.8 million for the three and six months ended June 30, 2026, respectively. Amortization expense attributable to software, property, and equipment was $1.6 million and $3.4 million for the three and six months ended June 30, 2025, respectively. Amortization expense attributable to software, property, and equipment is reflected in Technology on the condensed consolidated statements of operations and comprehensive loss. Total additions to software were $1.6 million for both the six months ended June 30, 2026 and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software, property and equipment was located and utilized within the United States as of June 30, 2026 and December 31,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recorded an impairment loss of $0 and $0.2 million, respectively, on leasehold improvements related to the closure of its San Francisco office lease. During the three and six months ended June 30, 2026, the Company recorded an impairment loss of $0 and $0.1 million, respectively, on furniture and fixtures related to the closure of its United Kingdom offices as part of the Company's exit from international markets.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11. Intangible Assets, 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 2026 (in thousands):</w:t>
      </w:r>
    </w:p>
    <w:p>
      <w:pPr>
        <w:pStyle w:val="TextBody"/>
        <w:bidi w:val="0"/>
        <w:spacing w:before="0" w:after="0"/>
        <w:jc w:val="both"/>
        <w:rPr/>
      </w:pPr>
      <w:r>
        <w:rPr/>
      </w:r>
    </w:p>
    <w:tbl>
      <w:tblPr>
        <w:tblW w:w="9030" w:type="dxa"/>
        <w:jc w:val="left"/>
        <w:tblInd w:w="0" w:type="dxa"/>
        <w:tblLayout w:type="fixed"/>
        <w:tblCellMar>
          <w:top w:w="28" w:type="dxa"/>
          <w:left w:w="28" w:type="dxa"/>
          <w:bottom w:w="28" w:type="dxa"/>
          <w:right w:w="28" w:type="dxa"/>
        </w:tblCellMar>
      </w:tblPr>
      <w:tblGrid>
        <w:gridCol w:w="771"/>
        <w:gridCol w:w="677"/>
        <w:gridCol w:w="682"/>
        <w:gridCol w:w="375"/>
        <w:gridCol w:w="1411"/>
        <w:gridCol w:w="208"/>
        <w:gridCol w:w="109"/>
        <w:gridCol w:w="109"/>
        <w:gridCol w:w="109"/>
        <w:gridCol w:w="400"/>
        <w:gridCol w:w="1562"/>
        <w:gridCol w:w="227"/>
        <w:gridCol w:w="109"/>
        <w:gridCol w:w="109"/>
        <w:gridCol w:w="109"/>
        <w:gridCol w:w="109"/>
        <w:gridCol w:w="109"/>
        <w:gridCol w:w="333"/>
        <w:gridCol w:w="1251"/>
        <w:gridCol w:w="26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(54,390)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(45,886)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Assembled workforce</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(102,016)</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128,687 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December 31, 2025 (in thousands):</w:t>
      </w:r>
    </w:p>
    <w:p>
      <w:pPr>
        <w:pStyle w:val="TextBody"/>
        <w:bidi w:val="0"/>
        <w:spacing w:before="0" w:after="0"/>
        <w:jc w:val="both"/>
        <w:rPr/>
      </w:pPr>
      <w:r>
        <w:rPr/>
      </w:r>
    </w:p>
    <w:tbl>
      <w:tblPr>
        <w:tblW w:w="9031" w:type="dxa"/>
        <w:jc w:val="left"/>
        <w:tblInd w:w="0" w:type="dxa"/>
        <w:tblLayout w:type="fixed"/>
        <w:tblCellMar>
          <w:top w:w="28" w:type="dxa"/>
          <w:left w:w="28" w:type="dxa"/>
          <w:bottom w:w="28" w:type="dxa"/>
          <w:right w:w="28" w:type="dxa"/>
        </w:tblCellMar>
      </w:tblPr>
      <w:tblGrid>
        <w:gridCol w:w="771"/>
        <w:gridCol w:w="677"/>
        <w:gridCol w:w="682"/>
        <w:gridCol w:w="375"/>
        <w:gridCol w:w="1411"/>
        <w:gridCol w:w="208"/>
        <w:gridCol w:w="109"/>
        <w:gridCol w:w="109"/>
        <w:gridCol w:w="109"/>
        <w:gridCol w:w="443"/>
        <w:gridCol w:w="1498"/>
        <w:gridCol w:w="249"/>
        <w:gridCol w:w="109"/>
        <w:gridCol w:w="109"/>
        <w:gridCol w:w="109"/>
        <w:gridCol w:w="109"/>
        <w:gridCol w:w="109"/>
        <w:gridCol w:w="333"/>
        <w:gridCol w:w="1251"/>
        <w:gridCol w:w="26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(48,457)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129,548 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Assembled workforce</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(90,901)</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$5.5 million and $11.1 million for the three and six months ended June 30, 2026. Amortization expense of intangible assets was $5.6 million and $11.2 million for the three and six months ended June 30, 2025. Amortization expense attributable to patents and developed technology is reflected in Technology on the condensed consolidated statements of operations and comprehensive loss. Amortization expense attributable to customer relationships and assembled workforce is reflected in General and administrative on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expected future amortization expense for intangible assets as of June 30, 2026 is as follows (in thousands):</w:t>
      </w:r>
    </w:p>
    <w:p>
      <w:pPr>
        <w:pStyle w:val="TextBody"/>
        <w:bidi w:val="0"/>
        <w:spacing w:before="0" w:after="0"/>
        <w:jc w:val="both"/>
        <w:rPr/>
      </w:pPr>
      <w:r>
        <w:rPr/>
      </w:r>
    </w:p>
    <w:tbl>
      <w:tblPr>
        <w:tblW w:w="4221" w:type="dxa"/>
        <w:jc w:val="left"/>
        <w:tblInd w:w="0" w:type="dxa"/>
        <w:tblLayout w:type="fixed"/>
        <w:tblCellMar>
          <w:top w:w="28" w:type="dxa"/>
          <w:left w:w="28" w:type="dxa"/>
          <w:bottom w:w="28" w:type="dxa"/>
          <w:right w:w="28" w:type="dxa"/>
        </w:tblCellMar>
      </w:tblPr>
      <w:tblGrid>
        <w:gridCol w:w="1136"/>
        <w:gridCol w:w="997"/>
        <w:gridCol w:w="1002"/>
        <w:gridCol w:w="196"/>
        <w:gridCol w:w="73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expected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Accrued Expenses and Other Current Liabilities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p>
      <w:pPr>
        <w:pStyle w:val="TextBody"/>
        <w:bidi w:val="0"/>
        <w:spacing w:before="0" w:after="0"/>
        <w:jc w:val="left"/>
        <w:rPr/>
      </w:pPr>
      <w:r>
        <w:rPr/>
      </w:r>
    </w:p>
    <w:tbl>
      <w:tblPr>
        <w:tblW w:w="10180" w:type="dxa"/>
        <w:jc w:val="left"/>
        <w:tblInd w:w="0" w:type="dxa"/>
        <w:tblLayout w:type="fixed"/>
        <w:tblCellMar>
          <w:top w:w="28" w:type="dxa"/>
          <w:left w:w="28" w:type="dxa"/>
          <w:bottom w:w="28" w:type="dxa"/>
          <w:right w:w="28" w:type="dxa"/>
        </w:tblCellMar>
      </w:tblPr>
      <w:tblGrid>
        <w:gridCol w:w="1922"/>
        <w:gridCol w:w="1691"/>
        <w:gridCol w:w="1698"/>
        <w:gridCol w:w="378"/>
        <w:gridCol w:w="1252"/>
        <w:gridCol w:w="211"/>
        <w:gridCol w:w="157"/>
        <w:gridCol w:w="157"/>
        <w:gridCol w:w="157"/>
        <w:gridCol w:w="500"/>
        <w:gridCol w:w="1658"/>
        <w:gridCol w:w="399"/>
      </w:tblGrid>
      <w:tr>
        <w:trPr/>
        <w:tc>
          <w:tcPr>
            <w:tcW w:w="1922"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11"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38,255 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benefits</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severance</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loss contingencies</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accrued expenses </w:t>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37,081 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42,679 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Payable to Issuing Bank</w:t>
            </w:r>
            <w:r>
              <w:rPr>
                <w:rFonts w:ascii="Times New Roman;serif" w:hAnsi="Times New Roman;serif"/>
                <w:b w:val="false"/>
                <w:color w:val="000000"/>
                <w:sz w:val="12"/>
              </w:rPr>
              <w:t>(1)</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to NFT artists payable</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Unearned advisory fee revenue </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42,664 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34,315 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76,994 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0"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Represents amounts owed to the Issuing Bank for credit card receivables purchased under the credit card program agreement. See </w:t>
            </w:r>
            <w:r>
              <w:rPr>
                <w:rFonts w:ascii="Times New Roman;serif" w:hAnsi="Times New Roman;serif"/>
                <w:b w:val="false"/>
                <w:i/>
                <w:color w:val="000000"/>
                <w:sz w:val="14"/>
              </w:rPr>
              <w:t>Note 22.</w:t>
            </w:r>
            <w:r>
              <w:rPr>
                <w:color w:val="000000"/>
              </w:rPr>
              <w:t xml:space="preserve"> </w:t>
            </w:r>
            <w:r>
              <w:rPr>
                <w:rFonts w:ascii="Times New Roman;serif" w:hAnsi="Times New Roman;serif"/>
                <w:b w:val="false"/>
                <w:i/>
                <w:color w:val="000000"/>
                <w:sz w:val="14"/>
              </w:rPr>
              <w:t>Commitments and Contingencies.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The Company has operating leases for office facilities with remaining terms of one year to four years. Many leases include one or more options to renew, but renewals are not assumed in the determination of the lease term as the Company is not reasonably certain to exercise the renewals. These leases primarily relate to office space in the United States, Singapore, and the United Kingdom, and generally require fixed monthly payments, some of which include rent-free periods and contractual rent escalations.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At lease commencement, the Company records a right-of-use asset and a corresponding lease liability based on the present value of lease payments over the lease term, using an incremental borrowing rate determined at lease commencement. All of the Company’s leases are classified as operating leases under FASB ASC Topic 842,</w:t>
      </w:r>
      <w:r>
        <w:rPr>
          <w:color w:val="000000"/>
        </w:rPr>
        <w:t xml:space="preserve"> </w:t>
      </w:r>
      <w:r>
        <w:rPr>
          <w:rFonts w:ascii="Times New Roman;serif" w:hAnsi="Times New Roman;serif"/>
          <w:b w:val="false"/>
          <w:i/>
          <w:color w:val="000000"/>
          <w:sz w:val="20"/>
        </w:rPr>
        <w:t xml:space="preserve">Leases </w:t>
      </w:r>
      <w:r>
        <w:rPr>
          <w:rFonts w:ascii="Times New Roman;serif" w:hAnsi="Times New Roman;serif"/>
          <w:b w:val="false"/>
          <w:color w:val="000000"/>
          <w:sz w:val="20"/>
        </w:rPr>
        <w:t>(“ASC 842”).</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lease expense in General and administrative on the condensed consolidated statements of operations and comprehensive loss. The components of lease expense were as follows (in thousands):</w:t>
      </w:r>
    </w:p>
    <w:p>
      <w:pPr>
        <w:pStyle w:val="TextBody"/>
        <w:bidi w:val="0"/>
        <w:spacing w:before="0" w:after="0"/>
        <w:jc w:val="left"/>
        <w:rPr/>
      </w:pPr>
      <w:r>
        <w:rPr/>
      </w:r>
    </w:p>
    <w:tbl>
      <w:tblPr>
        <w:tblW w:w="7149" w:type="dxa"/>
        <w:jc w:val="left"/>
        <w:tblInd w:w="0" w:type="dxa"/>
        <w:tblLayout w:type="fixed"/>
        <w:tblCellMar>
          <w:top w:w="28" w:type="dxa"/>
          <w:left w:w="28" w:type="dxa"/>
          <w:bottom w:w="28" w:type="dxa"/>
          <w:right w:w="28" w:type="dxa"/>
        </w:tblCellMar>
      </w:tblPr>
      <w:tblGrid>
        <w:gridCol w:w="684"/>
        <w:gridCol w:w="601"/>
        <w:gridCol w:w="604"/>
        <w:gridCol w:w="233"/>
        <w:gridCol w:w="663"/>
        <w:gridCol w:w="130"/>
        <w:gridCol w:w="130"/>
        <w:gridCol w:w="130"/>
        <w:gridCol w:w="130"/>
        <w:gridCol w:w="233"/>
        <w:gridCol w:w="663"/>
        <w:gridCol w:w="130"/>
        <w:gridCol w:w="109"/>
        <w:gridCol w:w="109"/>
        <w:gridCol w:w="109"/>
        <w:gridCol w:w="213"/>
        <w:gridCol w:w="606"/>
        <w:gridCol w:w="118"/>
        <w:gridCol w:w="118"/>
        <w:gridCol w:w="118"/>
        <w:gridCol w:w="118"/>
        <w:gridCol w:w="213"/>
        <w:gridCol w:w="606"/>
        <w:gridCol w:w="118"/>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leases was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987" w:type="dxa"/>
        <w:jc w:val="left"/>
        <w:tblInd w:w="0" w:type="dxa"/>
        <w:tblLayout w:type="fixed"/>
        <w:tblCellMar>
          <w:top w:w="28" w:type="dxa"/>
          <w:left w:w="28" w:type="dxa"/>
          <w:bottom w:w="28" w:type="dxa"/>
          <w:right w:w="28" w:type="dxa"/>
        </w:tblCellMar>
      </w:tblPr>
      <w:tblGrid>
        <w:gridCol w:w="1310"/>
        <w:gridCol w:w="1150"/>
        <w:gridCol w:w="1155"/>
        <w:gridCol w:w="292"/>
        <w:gridCol w:w="292"/>
        <w:gridCol w:w="691"/>
        <w:gridCol w:w="109"/>
        <w:gridCol w:w="109"/>
        <w:gridCol w:w="109"/>
        <w:gridCol w:w="371"/>
        <w:gridCol w:w="371"/>
        <w:gridCol w:w="1028"/>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discount rate </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June 30, 2026 were as follows:</w:t>
      </w:r>
    </w:p>
    <w:p>
      <w:pPr>
        <w:pStyle w:val="TextBody"/>
        <w:bidi w:val="0"/>
        <w:spacing w:before="0" w:after="0"/>
        <w:jc w:val="both"/>
        <w:rPr/>
      </w:pPr>
      <w:r>
        <w:rPr/>
      </w:r>
    </w:p>
    <w:tbl>
      <w:tblPr>
        <w:tblW w:w="3621" w:type="dxa"/>
        <w:jc w:val="left"/>
        <w:tblInd w:w="0" w:type="dxa"/>
        <w:tblLayout w:type="fixed"/>
        <w:tblCellMar>
          <w:top w:w="28" w:type="dxa"/>
          <w:left w:w="28" w:type="dxa"/>
          <w:bottom w:w="28" w:type="dxa"/>
          <w:right w:w="28" w:type="dxa"/>
        </w:tblCellMar>
      </w:tblPr>
      <w:tblGrid>
        <w:gridCol w:w="951"/>
        <w:gridCol w:w="835"/>
        <w:gridCol w:w="839"/>
        <w:gridCol w:w="196"/>
        <w:gridCol w:w="64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undiscounted lease payments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in connection with its restructuring activities, the Company ceased use of substantially all of its leased office spaces in London, United Kingdom and San Francisco, California and recorded impairment charges to reduce the carrying values of the related operating lease right-of-use (“ROU”) assets to their estimated fair values.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London lease, fair value was estimated using a discounted cash flow analysis based on projected sublease income. For the San Francisco lease, fair value was estimated using observable inputs, including the terms of a lease termination amendment executed on April 10, 2026, pursuant to which the Company agreed to pay a termination fee of approximately $0.6 million in connection with the early termination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and six months ended June 30, 2026, impairment charges of approximately $0 and $1.0 million, respectively, are included within General and administrative expenses on the condensed consolidated statements of operations and comprehensive loss. See </w:t>
      </w:r>
      <w:r>
        <w:rPr>
          <w:rFonts w:ascii="Times New Roman;serif" w:hAnsi="Times New Roman;serif"/>
          <w:b w:val="false"/>
          <w:i/>
          <w:color w:val="000000"/>
          <w:sz w:val="20"/>
        </w:rPr>
        <w:t xml:space="preserve">Note 4. Restructuring Activities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15, 2026, the Company exercised a contractual early termination option for its Chicago office lease. The lease will terminate effective June 30, 2027. In connection with the termination, the Company is required to pay a termination fee of approximately $0.8 million, of which approximately $0.4 million was paid in June 2026 and the remaining amount is due on or before June 30, 2027. As a result of exercising the option, the Company remeasured its operating lease liability and related right-of-use asset, resulting in reductions of approximately $1.8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14. Related Party Loans and Convertible Notes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regularly enters into lending agreements with Winklevoss Capital Fund, LLC (“WCF”), a related party through common ownership, in order to finance operations, maintain regulatory capital levels in subsidiaries, and fund capital expenditures to grow the business. The Company primarily conducts lending activities with WCF using bitcoin or ether as the loaned instrument or as collateral for USD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Crypto asset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several crypto lending agreements with WCF. All principal loan amounts have no stated maturity date but are callable upon written notice by WCF. The Company will have until the end of the business day to repay all outstanding loaned crypto amounts when called. The principal will be paid in-kind and interest outstanding will be payable in either (i) crypto or (ii) cash equivalent to the aggregate value of such crypto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measured at fair value on the daily basis at which the fees accrued. These agreements were made to enable the Company to ensure adequate operational liquidity and meet regulatory capital obligations of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Crypto asset loans as of June 30,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78"/>
        <w:gridCol w:w="178"/>
        <w:gridCol w:w="180"/>
        <w:gridCol w:w="257"/>
        <w:gridCol w:w="919"/>
        <w:gridCol w:w="155"/>
        <w:gridCol w:w="247"/>
        <w:gridCol w:w="512"/>
        <w:gridCol w:w="138"/>
        <w:gridCol w:w="190"/>
        <w:gridCol w:w="681"/>
        <w:gridCol w:w="114"/>
        <w:gridCol w:w="208"/>
        <w:gridCol w:w="676"/>
        <w:gridCol w:w="125"/>
        <w:gridCol w:w="274"/>
        <w:gridCol w:w="868"/>
        <w:gridCol w:w="167"/>
        <w:gridCol w:w="213"/>
        <w:gridCol w:w="762"/>
        <w:gridCol w:w="128"/>
        <w:gridCol w:w="222"/>
        <w:gridCol w:w="222"/>
        <w:gridCol w:w="223"/>
        <w:gridCol w:w="209"/>
        <w:gridCol w:w="574"/>
        <w:gridCol w:w="125"/>
        <w:gridCol w:w="270"/>
        <w:gridCol w:w="338"/>
        <w:gridCol w:w="25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Loan</w:t>
            </w:r>
            <w:r>
              <w:rPr>
                <w:rFonts w:ascii="Times New Roman;serif" w:hAnsi="Times New Roman;serif"/>
                <w:b/>
                <w:color w:val="000000"/>
                <w:sz w:val="9"/>
              </w:rPr>
              <w:t>(6)</w:t>
            </w:r>
          </w:p>
        </w:tc>
        <w:tc>
          <w:tcPr>
            <w:tcW w:w="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12.31.25</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Borrowed</w:t>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Realized Gain (Loss)</w:t>
            </w:r>
          </w:p>
        </w:tc>
        <w:tc>
          <w:tcPr>
            <w:tcW w:w="1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6.30.26</w:t>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Gain (Loss)</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90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Expense</w:t>
            </w:r>
            <w:r>
              <w:rPr>
                <w:rFonts w:ascii="Times New Roman;serif" w:hAnsi="Times New Roman;serif"/>
                <w:b/>
                <w:color w:val="000000"/>
                <w:sz w:val="9"/>
              </w:rPr>
              <w:t>(4)</w:t>
            </w:r>
          </w:p>
        </w:tc>
        <w:tc>
          <w:tcPr>
            <w:tcW w:w="8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(5)</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5,000 BTC</w:t>
            </w:r>
            <w:r>
              <w:rPr>
                <w:rFonts w:ascii="Times New Roman;serif" w:hAnsi="Times New Roman;serif"/>
                <w:b w:val="false"/>
                <w:color w:val="000000"/>
                <w:sz w:val="9"/>
              </w:rPr>
              <w:t>(1)</w:t>
            </w:r>
          </w:p>
        </w:tc>
        <w:tc>
          <w:tcPr>
            <w:tcW w:w="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119,208 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(90,260)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151,298 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500 BTC</w:t>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5/11/2023</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340 BTC</w:t>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1,275 BTC</w:t>
            </w:r>
            <w:r>
              <w:rPr>
                <w:rFonts w:ascii="Times New Roman;serif" w:hAnsi="Times New Roman;serif"/>
                <w:b w:val="false"/>
                <w:color w:val="000000"/>
                <w:sz w:val="9"/>
              </w:rPr>
              <w:t>(2)</w:t>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7/24/2025</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76,306 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822 BTC</w:t>
            </w:r>
            <w:r>
              <w:rPr>
                <w:rFonts w:ascii="Times New Roman;serif" w:hAnsi="Times New Roman;serif"/>
                <w:b w:val="false"/>
                <w:color w:val="000000"/>
                <w:sz w:val="9"/>
              </w:rPr>
              <w:t>(3)</w:t>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3/18/2026</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58,571 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48,129 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2,825 BTC</w:t>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6/30/2026</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223,980 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241,991 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(3,512)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258,737 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129,265 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6,025 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1,750 bitcoin ("BTC") were repaid during the six months ended June 30,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1,275 bitcoin were repaid during the six months ended June 30,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822 bitcoin were repaid during the six months ended June 30,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Prior year interest accrued of $1.4 million was paid during the six months ended June 30,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(5) Outstanding interest balances payable to WCF are included in Related party loans on the condensed consolidated balance sheets as of June 30, 2026.</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(6) 4,419 bitcoin and 0 ether were outstanding as of June 30, 2026.</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xml:space="preserve">    On March 18, 2026, the Company entered into a lending agreement with WCF to obtain bitcoin used as collateral under the previous NYDIG Master Repurchase Agreement in connection with margin requirements. The related bitcoin borrowing was repaid during the second quarter of 2026 upon the repayment and termination of the NYDIG Master Repurchase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June 30, 2026, the Company entered into an additional lending agreement with WCF to obtain bitcoin in support of the Company's collateral requirements under the current Galaxy Master Loan Agreement. Refer to </w:t>
      </w:r>
      <w:r>
        <w:rPr>
          <w:rFonts w:ascii="Times New Roman;serif" w:hAnsi="Times New Roman;serif"/>
          <w:b w:val="false"/>
          <w:i/>
          <w:color w:val="000000"/>
          <w:sz w:val="20"/>
        </w:rPr>
        <w:t>Note 15. Third Party Loans</w:t>
      </w:r>
      <w:r>
        <w:rPr>
          <w:color w:val="000000"/>
        </w:rPr>
        <w:t xml:space="preserve">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Crypto asset loans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9"/>
        <w:gridCol w:w="198"/>
        <w:gridCol w:w="200"/>
        <w:gridCol w:w="177"/>
        <w:gridCol w:w="177"/>
        <w:gridCol w:w="179"/>
        <w:gridCol w:w="255"/>
        <w:gridCol w:w="910"/>
        <w:gridCol w:w="153"/>
        <w:gridCol w:w="246"/>
        <w:gridCol w:w="510"/>
        <w:gridCol w:w="137"/>
        <w:gridCol w:w="195"/>
        <w:gridCol w:w="616"/>
        <w:gridCol w:w="117"/>
        <w:gridCol w:w="207"/>
        <w:gridCol w:w="673"/>
        <w:gridCol w:w="125"/>
        <w:gridCol w:w="255"/>
        <w:gridCol w:w="910"/>
        <w:gridCol w:w="153"/>
        <w:gridCol w:w="219"/>
        <w:gridCol w:w="691"/>
        <w:gridCol w:w="131"/>
        <w:gridCol w:w="221"/>
        <w:gridCol w:w="221"/>
        <w:gridCol w:w="222"/>
        <w:gridCol w:w="204"/>
        <w:gridCol w:w="645"/>
        <w:gridCol w:w="123"/>
        <w:gridCol w:w="219"/>
        <w:gridCol w:w="456"/>
        <w:gridCol w:w="201"/>
      </w:tblGrid>
      <w:tr>
        <w:trPr/>
        <w:tc>
          <w:tcPr>
            <w:tcW w:w="2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w:t>
            </w:r>
            <w:r>
              <w:rPr>
                <w:rFonts w:ascii="Times New Roman;serif" w:hAnsi="Times New Roman;serif"/>
                <w:b/>
                <w:color w:val="000000"/>
                <w:sz w:val="9"/>
              </w:rPr>
              <w:t>(14)</w:t>
            </w:r>
          </w:p>
        </w:tc>
        <w:tc>
          <w:tcPr>
            <w:tcW w:w="5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12.31.24</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Borrowed</w:t>
            </w:r>
          </w:p>
        </w:tc>
        <w:tc>
          <w:tcPr>
            <w:tcW w:w="9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Realized Gain (Loss)</w:t>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12.31.25</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Gain (Loss)</w:t>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97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Expense</w:t>
            </w:r>
            <w:r>
              <w:rPr>
                <w:rFonts w:ascii="Times New Roman;serif" w:hAnsi="Times New Roman;serif"/>
                <w:b/>
                <w:color w:val="000000"/>
                <w:sz w:val="9"/>
              </w:rPr>
              <w:t>(12)</w:t>
            </w:r>
          </w:p>
        </w:tc>
        <w:tc>
          <w:tcPr>
            <w:tcW w:w="8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(13)</w:t>
            </w:r>
          </w:p>
        </w:tc>
      </w:tr>
      <w:tr>
        <w:trPr/>
        <w:tc>
          <w:tcPr>
            <w:tcW w:w="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5,000 BTC</w:t>
            </w:r>
            <w:r>
              <w:rPr>
                <w:rFonts w:ascii="Times New Roman;serif" w:hAnsi="Times New Roman;serif"/>
                <w:b w:val="false"/>
                <w:color w:val="000000"/>
                <w:sz w:val="9"/>
              </w:rPr>
              <w:t>(1)</w:t>
            </w:r>
          </w:p>
        </w:tc>
        <w:tc>
          <w:tcPr>
            <w:tcW w:w="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290,929 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(32,663)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237,077 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2,000 BTC</w:t>
            </w:r>
            <w:r>
              <w:rPr>
                <w:rFonts w:ascii="Times New Roman;serif" w:hAnsi="Times New Roman;serif"/>
                <w:b w:val="false"/>
                <w:color w:val="000000"/>
                <w:sz w:val="9"/>
              </w:rPr>
              <w:t>(2)</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(106,357)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76,710 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35,000 ETH</w:t>
            </w:r>
            <w:r>
              <w:rPr>
                <w:rFonts w:ascii="Times New Roman;serif" w:hAnsi="Times New Roman;serif"/>
                <w:b w:val="false"/>
                <w:color w:val="000000"/>
                <w:sz w:val="9"/>
              </w:rPr>
              <w:t>(3)</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88,234 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(72,828)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44,729 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500 BTC</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5/11/2023</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46,683 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 BTC</w:t>
            </w:r>
            <w:r>
              <w:rPr>
                <w:rFonts w:ascii="Times New Roman;serif" w:hAnsi="Times New Roman;serif"/>
                <w:b w:val="false"/>
                <w:color w:val="000000"/>
                <w:sz w:val="9"/>
              </w:rPr>
              <w:t>(4)</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31,745 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5,200 ETH</w:t>
            </w:r>
            <w:r>
              <w:rPr>
                <w:rFonts w:ascii="Times New Roman;serif" w:hAnsi="Times New Roman;serif"/>
                <w:b w:val="false"/>
                <w:color w:val="000000"/>
                <w:sz w:val="9"/>
              </w:rPr>
              <w:t>(5)</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1/27/2025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3,000 ETH</w:t>
            </w:r>
            <w:r>
              <w:rPr>
                <w:rFonts w:ascii="Times New Roman;serif" w:hAnsi="Times New Roman;serif"/>
                <w:b w:val="false"/>
                <w:color w:val="000000"/>
                <w:sz w:val="9"/>
              </w:rPr>
              <w:t>(6)</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2/7/2025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5,280 ETH</w:t>
            </w:r>
            <w:r>
              <w:rPr>
                <w:rFonts w:ascii="Times New Roman;serif" w:hAnsi="Times New Roman;serif"/>
                <w:b w:val="false"/>
                <w:color w:val="000000"/>
                <w:sz w:val="9"/>
              </w:rPr>
              <w:t>(7)</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2/28/2025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3,400 ETH</w:t>
            </w:r>
            <w:r>
              <w:rPr>
                <w:rFonts w:ascii="Times New Roman;serif" w:hAnsi="Times New Roman;serif"/>
                <w:b w:val="false"/>
                <w:color w:val="000000"/>
                <w:sz w:val="9"/>
              </w:rPr>
              <w:t>(8)</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3/10/2025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86 BTC</w:t>
            </w:r>
            <w:r>
              <w:rPr>
                <w:rFonts w:ascii="Times New Roman;serif" w:hAnsi="Times New Roman;serif"/>
                <w:b w:val="false"/>
                <w:color w:val="000000"/>
                <w:sz w:val="9"/>
              </w:rPr>
              <w:t>(9)</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3/11/2025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2,500 ETH</w:t>
            </w:r>
            <w:r>
              <w:rPr>
                <w:rFonts w:ascii="Times New Roman;serif" w:hAnsi="Times New Roman;serif"/>
                <w:b w:val="false"/>
                <w:color w:val="000000"/>
                <w:sz w:val="9"/>
              </w:rPr>
              <w:t>(10)</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3/28/2025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10,000 ETH</w:t>
            </w:r>
            <w:r>
              <w:rPr>
                <w:rFonts w:ascii="Times New Roman;serif" w:hAnsi="Times New Roman;serif"/>
                <w:b w:val="false"/>
                <w:color w:val="000000"/>
                <w:sz w:val="9"/>
              </w:rPr>
              <w:t>(11)</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4/7/2025</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1,275 BTC</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7/24/2025</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150,959 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3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560,107 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220,798 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410,549 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(257,266)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402,501 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225,124 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24,197 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395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1,098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26,629 ether ("ETH")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217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(5) 5,200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(6) 3,000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(7) 5,280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(8) 3,400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(9) 86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(10) 2,500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(11) 10,000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(12) Prior year interest accrued of $2.1 million was 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(13) Outstanding interest balances payable to WCF are included in Related party loans on the condensed consolidated balance sheets as of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(14) 4,619 bitcoin and 0 ether were outstanding as of December 31, 2025.</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year ended December 31, 2025, the Company entered into multiple additional lending agreements with WCF. The Company primarily uses the crypto assets obtained from these agreements as collateral for third party loans. Refer to </w:t>
      </w:r>
      <w:r>
        <w:rPr>
          <w:rFonts w:ascii="Times New Roman;serif" w:hAnsi="Times New Roman;serif"/>
          <w:b w:val="false"/>
          <w:i/>
          <w:color w:val="000000"/>
          <w:sz w:val="20"/>
        </w:rPr>
        <w:t>Note 15. Third Party Loans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notes and term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IPO in September 2025, the Company entered into a series of convertible note and term loan agreements with WCF (collectively, the “Convertible Notes”) to provide funding for general operating purposes. Upon the consummation of the IPO in September 2025, all Convertible Notes were fully converted into shares of Class B common stock and were no longer outstanding as of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Third Party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York Digital Investment Group Funding LLC (“NYDIG”) Repurchase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25, 2025, the Company entered into a $75.0 million repurchase agreement with NYDIG to facilitate a structured crypto asset financing arrangement involving bitcoin. At inception, pursuant to the agreement, the Company transferred 1,078 bitcoin with a nominal value of $125.25 million to NYDIG in exchange for cash proceeds of $75.0 million (the “Purchase Price”) and agreed to repurchase the same amount of bitcoin on June 30, 2026 at the Purchase Price plus an agreed annual interest rate of 8.5%. The agreement required the Company to maintain additional collateral coverage within specified thresholds and permitted the Company to satisfy margin requirements through the transfer of additional bitcoin or cash and cash equivalents, such that the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collateral held by NYDIG in relation to the sale and repurchase agreement was maintained between 143% and 200% of the $75.0 million Purchase Price.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Repurchase agreement as of June 30,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repurchased the bitcoin transferred under the agreement and repaid all outstanding amounts, including accrued interest, under the repurchase agreement. In connection with the repayment and termination of the agreement, all collateral pledged under the agreement was released to the Company. Concurrently, the Company entered into a new secured bitcoin-collateralized financing arrangement with Galaxy Digital LLC. Accordingly, no amounts remained outstanding under the NYDIG repurchase agreement as of June 30,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Repurchase agreement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4"/>
        <w:gridCol w:w="250"/>
        <w:gridCol w:w="254"/>
        <w:gridCol w:w="226"/>
        <w:gridCol w:w="226"/>
        <w:gridCol w:w="227"/>
        <w:gridCol w:w="339"/>
        <w:gridCol w:w="339"/>
        <w:gridCol w:w="341"/>
        <w:gridCol w:w="286"/>
        <w:gridCol w:w="946"/>
        <w:gridCol w:w="160"/>
        <w:gridCol w:w="293"/>
        <w:gridCol w:w="293"/>
        <w:gridCol w:w="293"/>
        <w:gridCol w:w="298"/>
        <w:gridCol w:w="298"/>
        <w:gridCol w:w="299"/>
        <w:gridCol w:w="260"/>
        <w:gridCol w:w="739"/>
        <w:gridCol w:w="144"/>
        <w:gridCol w:w="284"/>
        <w:gridCol w:w="611"/>
        <w:gridCol w:w="158"/>
        <w:gridCol w:w="381"/>
        <w:gridCol w:w="381"/>
        <w:gridCol w:w="383"/>
        <w:gridCol w:w="350"/>
        <w:gridCol w:w="350"/>
        <w:gridCol w:w="512"/>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(1)</w:t>
            </w:r>
          </w:p>
        </w:tc>
        <w:tc>
          <w:tcPr>
            <w:tcW w:w="1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Type</w:t>
            </w:r>
            <w:r>
              <w:rPr>
                <w:rFonts w:ascii="Times New Roman;serif" w:hAnsi="Times New Roman;serif"/>
                <w:b/>
                <w:color w:val="000000"/>
                <w:sz w:val="10"/>
              </w:rPr>
              <w:t>(2)</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Rate</w:t>
            </w:r>
            <w:r>
              <w:rPr>
                <w:rFonts w:ascii="Times New Roman;serif" w:hAnsi="Times New Roman;serif"/>
                <w:b/>
                <w:color w:val="000000"/>
                <w:sz w:val="10"/>
              </w:rPr>
              <w:t>(3)</w:t>
            </w:r>
          </w:p>
        </w:tc>
      </w:tr>
      <w:tr>
        <w:trPr/>
        <w:tc>
          <w:tcPr>
            <w:tcW w:w="78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NYDIG</w:t>
            </w:r>
          </w:p>
        </w:tc>
        <w:tc>
          <w:tcPr>
            <w:tcW w:w="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7/25/2025</w:t>
            </w:r>
          </w:p>
        </w:tc>
        <w:tc>
          <w:tcPr>
            <w:tcW w:w="10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r>
      <w:tr>
        <w:trPr/>
        <w:tc>
          <w:tcPr>
            <w:tcW w:w="899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Outstanding interest balances payable to a third party are included in Third party loans on the condensed consolidated balance sheets as of December 31, 2025.</w:t>
            </w:r>
          </w:p>
          <w:p>
            <w:pPr>
              <w:pStyle w:val="TableContents"/>
              <w:bidi w:val="0"/>
              <w:spacing w:lineRule="auto" w:line="288" w:before="0" w:after="0"/>
              <w:ind w:left="0" w:right="0" w:hanging="180"/>
              <w:jc w:val="left"/>
              <w:rPr/>
            </w:pPr>
            <w:r>
              <w:rPr>
                <w:rFonts w:ascii="Times New Roman;serif" w:hAnsi="Times New Roman;serif"/>
                <w:b w:val="false"/>
                <w:color w:val="000000"/>
                <w:sz w:val="14"/>
              </w:rPr>
              <w:t>(2) As of December 31, 2025, the Company had pledged 1,275 bitcoin, which is included in Crypto assets held on the condensed consolidated balance sheets</w:t>
            </w:r>
            <w:r>
              <w:rPr>
                <w:rFonts w:ascii="Arial;sans-serif" w:hAnsi="Arial;sans-serif"/>
                <w:b w:val="false"/>
                <w:color w:val="000000"/>
                <w:sz w:val="14"/>
              </w:rPr>
              <w:t xml:space="preserve">, </w:t>
            </w:r>
            <w:r>
              <w:rPr>
                <w:rFonts w:ascii="Times New Roman;serif" w:hAnsi="Times New Roman;serif"/>
                <w:b w:val="false"/>
                <w:color w:val="000000"/>
                <w:sz w:val="14"/>
              </w:rPr>
              <w:t>and posted $16.4 million of cash and cash equivalents to satisfy margin requirements, which is included within Prepaid expenses and other current assets on the consolidated balance sheets. Total collateral associated with the repurchase agreement as of December 31, 2025 was approximately $127.5 million, representing collateralization of approximately 170% of the purchase price.</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(3) Of the 1,275 bitcoin pledged, 13 bitcoin was subject to margin requirements as of December 31, 2025. If the value of the collateral held by NYDIG falls below the 143% buyer’s margin call requirement, the Company must transfer additional bitcoin or cash and cash equivalents to NYDIG to restore the required collateral level. If the value of the collateral (including bitcoin and cash posted as margin) held by NYDIG increases above the 200% seller’s margin call requirement, the Company may require NYDIG to return excess collateral, which may be satisfied through the transfer of bitcoin or the return of cash and cash equivalents previously deposited by the Company to satisfy margin requirements.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Galaxy Digital LLC ("Galaxy") Financing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entered into a $75.0 million secured bitcoin-collateralized financing agreement with Galaxy. At inception, pursuant to the agreement, the Company pledged 1,975 bitcoin with a nominal value of $115.6 million as collateral to Galaxy in exchange for cash proceeds of $75.0 million. The agreement bears interest at an annual rate of 7.5% and has an evergreen term with no stated maturity date, subject to either party's right to call the loan due, or the Company's separate right to prepay the loan, in each case upon 90 calendar days' notice, following which the Company would repay the outstanding balance and Galaxy would redeliver the pledged collateral. The agreement also requires the Company to maintain additional collateral coverage within specified thresholds and permits the Company to satisfy margin requirements through the transfer of additional bitcoin or cash and cash equivalents, such that the value of the collateral in relation to the financing agreement is maintained between 145% and 165% of the $75.0 million cash proceeds. As of June 30, 2026, in addition to the 1,975 bitcoin pledged as collateral, the Company maintained approximately 850 bitcoin designated to satisfy potential future margin requirements under the agreement. In addition to the standard margin call threshold, the agreement provides for an urgent margin call if the value of the pledged collateral falls below 120% of the cash proceeds.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Galaxy is not permitted to sell, pledge, rehypothecate, or otherwise use the pledged collateral, except in the event of a default under the agreement. Accordingly, the pledged bitcoin continues to be recognized within Crypto assets held on the condensed consolidated balance sheets. In addition, the bitcoin designated to satisfy potential future margin requirements remains recognized within Crypto assets held because it is not pledged as collateral and is not subject to Galaxy's security interest or control.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Financing facility as of June 30,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6"/>
        <w:gridCol w:w="253"/>
        <w:gridCol w:w="255"/>
        <w:gridCol w:w="253"/>
        <w:gridCol w:w="253"/>
        <w:gridCol w:w="255"/>
        <w:gridCol w:w="432"/>
        <w:gridCol w:w="376"/>
        <w:gridCol w:w="378"/>
        <w:gridCol w:w="320"/>
        <w:gridCol w:w="1057"/>
        <w:gridCol w:w="179"/>
        <w:gridCol w:w="331"/>
        <w:gridCol w:w="331"/>
        <w:gridCol w:w="333"/>
        <w:gridCol w:w="341"/>
        <w:gridCol w:w="577"/>
        <w:gridCol w:w="193"/>
        <w:gridCol w:w="364"/>
        <w:gridCol w:w="615"/>
        <w:gridCol w:w="203"/>
        <w:gridCol w:w="425"/>
        <w:gridCol w:w="425"/>
        <w:gridCol w:w="427"/>
        <w:gridCol w:w="389"/>
        <w:gridCol w:w="389"/>
        <w:gridCol w:w="565"/>
      </w:tblGrid>
      <w:tr>
        <w:trPr/>
        <w:tc>
          <w:tcPr>
            <w:tcW w:w="2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(1)</w:t>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Type</w:t>
            </w:r>
            <w:r>
              <w:rPr>
                <w:rFonts w:ascii="Times New Roman;serif" w:hAnsi="Times New Roman;serif"/>
                <w:b/>
                <w:color w:val="000000"/>
                <w:sz w:val="10"/>
              </w:rPr>
              <w:t>(2)</w:t>
            </w:r>
          </w:p>
        </w:tc>
        <w:tc>
          <w:tcPr>
            <w:tcW w:w="134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Rate</w:t>
            </w:r>
            <w:r>
              <w:rPr>
                <w:rFonts w:ascii="Times New Roman;serif" w:hAnsi="Times New Roman;serif"/>
                <w:b/>
                <w:color w:val="000000"/>
                <w:sz w:val="10"/>
              </w:rPr>
              <w:t>(2)</w:t>
            </w:r>
          </w:p>
        </w:tc>
      </w:tr>
      <w:tr>
        <w:trPr/>
        <w:tc>
          <w:tcPr>
            <w:tcW w:w="7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Galaxy</w:t>
            </w:r>
          </w:p>
        </w:tc>
        <w:tc>
          <w:tcPr>
            <w:tcW w:w="7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11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w:t>
            </w:r>
          </w:p>
        </w:tc>
      </w:tr>
      <w:tr>
        <w:trPr/>
        <w:tc>
          <w:tcPr>
            <w:tcW w:w="8862"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Outstanding interest balances payable to a third party are included in Third party loans on the condensed consolidated balance sheets as of June 30, 2026.</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(2) As of June 30, 2026, the Company had pledged 1,975 bitcoin to satisfy margin requirements, which is included in Crypto assets held on the condensed consolidated balance sheets. Total collateral associated with the financing agreement as of June 30, 2026 was approximately $115.6 million, representing collateralization of approximately 154% of the cash proceeds. If the value of the collateral falls below the 145% buyer’s margin call requirement, the Company must transfer additional bitcoin or cash and cash equivalents to Galaxy to restore the required collateral level. If the value of the collateral (including bitcoin and cash posted as margin) increases above the 165% seller’s margin call requirement, the Company may require Galaxy to return excess collateral, which may be satisfied through the transfer of bitcoin or the return of cash and cash equivalents previously deposited by the Company to satisfy margin requirements.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Funding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a $75.0 million warehouse credit agreement with Ripple Labs Inc. (“Ripple”), an unrelated third party, to finance credit card receivables. Pursuant to the agreement, Ripple committed to lend the Company $75.0 million, with the commitment amount eligible to increase, subject to the attainment of certain agreed upon metrics, up to a maximum aggregate commitment amount of $150.0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26, 2025, the Company entered into a second amendment to the credit agreement with Ripple, which temporarily increased the lending commitment to $250.0 million through July 1, 2026. In connection with the temporary increase, the interest rate increased from an initial rate of 6.5% to 7.0%. The amendment required the Company to pledge RLUSD collateral equal to at least 20% of the outstanding loan amount by January 31, 2026, subject to specified custody and control arrangements, and included a covenant requiring the Company to maintain minimum RLUSD activity levels, with cash penalties and potential events of default for noncompliance. The amendment provided that if the outstanding balance had not been reduced to $150.0 million or less by July 2, 2026, the interest rate would increase to 10.0% and the enhanced collateral and covenant requirements would remain in effect until such reduction occurred. As of June 30, 2026, the outstanding balance under the credit agreement was below $150.0 million. Accordingly, the step-up to a 10.0% interest rate and the continued application of the enhanced collateral and covenant requirements were not triggered.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drew $845.0 million and repaid $852.2 million under the warehouse credit agreement. Accordingly, as of June 30, 2026, the Company had $103.1 million of unused, available borrowing capacity from the credit agreement. Borrowings under the warehouse credit agreement are secured by substantially all credit card receivables purchased under the credit card program agreement. As of June 30, 2026, the Company pledged $185.7 million of credit card receivables as collateral associated with this credit agreement. Credit card receivables pledged are included in Credit card receivables pledged, net on the condensed consolidated balance sheets. The securitized funding debt entered into by the Company is summarized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Debt as of June 30, 2026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7"/>
        <w:gridCol w:w="271"/>
        <w:gridCol w:w="268"/>
        <w:gridCol w:w="351"/>
        <w:gridCol w:w="351"/>
        <w:gridCol w:w="353"/>
        <w:gridCol w:w="487"/>
        <w:gridCol w:w="487"/>
        <w:gridCol w:w="489"/>
        <w:gridCol w:w="399"/>
        <w:gridCol w:w="1502"/>
        <w:gridCol w:w="222"/>
        <w:gridCol w:w="436"/>
        <w:gridCol w:w="436"/>
        <w:gridCol w:w="439"/>
        <w:gridCol w:w="372"/>
        <w:gridCol w:w="1058"/>
        <w:gridCol w:w="206"/>
        <w:gridCol w:w="445"/>
        <w:gridCol w:w="957"/>
        <w:gridCol w:w="359"/>
      </w:tblGrid>
      <w:tr>
        <w:trPr/>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Loan</w:t>
            </w:r>
            <w:r>
              <w:rPr>
                <w:rFonts w:ascii="Times New Roman;serif" w:hAnsi="Times New Roman;serif"/>
                <w:b/>
                <w:color w:val="000000"/>
                <w:sz w:val="10"/>
              </w:rPr>
              <w:t>(1)</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76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(2)</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Ripple</w:t>
            </w:r>
          </w:p>
        </w:tc>
        <w:tc>
          <w:tcPr>
            <w:tcW w:w="10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7/11/2025</w:t>
            </w:r>
          </w:p>
        </w:tc>
        <w:tc>
          <w:tcPr>
            <w:tcW w:w="14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11/15/2027</w:t>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146,930 </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5,048 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As of June 30, 2026, the Company has pledged credit receivables included in Credit card receivables pledged on the condensed consolidated balance sheets. Total collateral associated with these loans as of June 30, 2026 was approximately $185.7 million.</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Outstanding interest balances payable for the securitized debt are included in Funding debt on the condensed consolidated balance sheets as of June 30, 2026.</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Debt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7"/>
        <w:gridCol w:w="271"/>
        <w:gridCol w:w="267"/>
        <w:gridCol w:w="346"/>
        <w:gridCol w:w="346"/>
        <w:gridCol w:w="348"/>
        <w:gridCol w:w="482"/>
        <w:gridCol w:w="482"/>
        <w:gridCol w:w="484"/>
        <w:gridCol w:w="395"/>
        <w:gridCol w:w="1484"/>
        <w:gridCol w:w="219"/>
        <w:gridCol w:w="468"/>
        <w:gridCol w:w="468"/>
        <w:gridCol w:w="471"/>
        <w:gridCol w:w="368"/>
        <w:gridCol w:w="1048"/>
        <w:gridCol w:w="205"/>
        <w:gridCol w:w="438"/>
        <w:gridCol w:w="942"/>
        <w:gridCol w:w="356"/>
      </w:tblGrid>
      <w:tr>
        <w:trPr/>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Loan</w:t>
            </w:r>
            <w:r>
              <w:rPr>
                <w:rFonts w:ascii="Times New Roman;serif" w:hAnsi="Times New Roman;serif"/>
                <w:b/>
                <w:color w:val="000000"/>
                <w:sz w:val="10"/>
              </w:rPr>
              <w:t>(1)</w:t>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14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Rate</w:t>
            </w:r>
            <w:r>
              <w:rPr>
                <w:rFonts w:ascii="Times New Roman;serif" w:hAnsi="Times New Roman;serif"/>
                <w:b/>
                <w:color w:val="000000"/>
                <w:sz w:val="10"/>
              </w:rPr>
              <w:t>(2)</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7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(3)</w:t>
            </w:r>
          </w:p>
        </w:tc>
      </w:tr>
      <w:tr>
        <w:trPr/>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Ripple</w:t>
            </w:r>
          </w:p>
        </w:tc>
        <w:tc>
          <w:tcPr>
            <w:tcW w:w="10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7/11/2025</w:t>
            </w:r>
          </w:p>
        </w:tc>
        <w:tc>
          <w:tcPr>
            <w:tcW w:w="14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11/15/2027</w:t>
            </w:r>
          </w:p>
        </w:tc>
        <w:tc>
          <w:tcPr>
            <w:tcW w:w="3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154,120 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As of December 31, 2025, the Company has pledged credit card receivables included in Credit card receivables pledged on the condensed consolidated balance sheets. Total collateral associated with these loans as of December 31, 2025 was approximately $188.8 million.</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On December 26, 2025, the interest rate was increased from 6.5% to 7.0%.</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Outstanding interest balances payable for the securitized debt are included in Funding debt on the condensed consolidated balance sheets as of December 31, 2025.</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17.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Preferred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in September 2025, the Company had Series A preferred units (“Series A Units”) and Series B preferred units (“Series B Units”), collectively the “Convertible Preferred Units,” that were issued and outstanding. In connection with the IPO in September 2025, all outstanding shares of the Convertible Preferred Units were converted into shares of Class A common stock and Class B common stock based on the terms of the conversion ratio, and their carrying value was reclassified into stockholders'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authorized 20,000,000 shares of preferred stock for issuance, at a par value of $0.001 per share. No shares of preferred stock were issued and outstanding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Common Stock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authorized a total of 1.0 billion shares of Class A common stock with a par value of $0.001 per share and 100.0 million shares of Class B common stock with a par value of $0.001 per share. As of June 30, 2026, the Company had 52,237,793 shares of Class A common stock and 75,126,784 shares of Class B common stock issued and outstanding.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Gemini's Class A common stock are entitled to one vote for each share of common stock held. The holders of Gemini's Class B common stock are entitled to ten votes for each share of common stock held. Holders of Class A common stock and Class B common stock generally vote together as a single class on all matters submitted to a vote of the stockholders of the Company.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dividend and liquidation rights of the holders of the Company's Class A and Class B common stock are subject to declarations by the board and any restrictions imposed by the terms of any outstanding preferred stock. Upon liquidation, dissolution or winding up of the Company, assets legally available for distribution to stockholders will be distributed ratably among the holders of Class A and Class B common stock, subject to prior satisfaction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outstanding debts and other liabilities and the payment of liquidation preferences, if any, on any outstanding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are convertible at any time at the option of the holder into shares of Class A common stock on a one-to-one basis. In addition, each share of Class B common stock will automatically convert into a share of Class A common stock upon a transfer, except for certain permitted transfers described in the Company's amended and restated articles of incorporation, and in certain other circumstances. Further, all outstanding shares of Class B common stock will automatically convert into Class A common stock upon the earliest of (i) the death or disability of the last surviving founder or (ii) the date the founders and their permitted transferees collectively hold less than 20% of the Class B common stock outstanding immediately following the closing of our initial public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outstanding shares of the Company's Class A and Class B common stock are fully paid and non-assessable. Holders of Class A and Class B common stock do not have preemptive, subscription, redemption, or sinking fund rights. The rights of holders of the Company's Class A common stock are subject to and qualified by the rights, powers, and preferences of the holders of any preferred stock that we may issue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Private Placement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14, 2026, the Company entered into a securities purchase agreement with Winklevoss Capital Fund, LLC pursuant to which the Company issued and sold 7,142,857 shares of Class A common stock in a private placement at a purchase price of $14.00 per share, for aggregate consideration of $100.0 million, which was paid in bitcoin. The bitcoin received was measured at fair value on the transaction date. For additional information, see the Company's Current Report on Form 8-K filed with the SEC on May 14,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Equity Plan became effective on September 12, 2025. Under the Equity Plan, the Company is authorized to grant shares of common stock in the form of stock options, RSUs, and RSAs to employees, directors, and consultants. As of June 30, 2026, there were 18,068,492 shares of Class A common stock subject to issued and outstanding RSUs and stock options under the Equity Plan. As of June 30, 2026, the Company had 12,907,331 shares available for future issuance under the Equity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Employee Stock Purchase Plan (“ESPP”)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ESPP became effective on September 12, 2025. An aggregate of 8,557,801 shares of the Company’s Class A common stock has been authorized for issuance under the ESPP. During the six months ended June 30, 2026, no shares were purchased under the ESPP. As of June 30, 2026, all 8,557,801 shares remained available for future issuance under the ESPP. The Company did not recognize any stock-based compensation expense or liability related to the ESPP for the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for the six months ended June 30, 2026 (in thousands):</w:t>
      </w:r>
    </w:p>
    <w:p>
      <w:pPr>
        <w:pStyle w:val="TextBody"/>
        <w:bidi w:val="0"/>
        <w:spacing w:before="0" w:after="0"/>
        <w:jc w:val="both"/>
        <w:rPr/>
      </w:pPr>
      <w:r>
        <w:rPr/>
      </w:r>
    </w:p>
    <w:tbl>
      <w:tblPr>
        <w:tblW w:w="8305" w:type="dxa"/>
        <w:jc w:val="left"/>
        <w:tblInd w:w="0" w:type="dxa"/>
        <w:tblLayout w:type="fixed"/>
        <w:tblCellMar>
          <w:top w:w="28" w:type="dxa"/>
          <w:left w:w="28" w:type="dxa"/>
          <w:bottom w:w="28" w:type="dxa"/>
          <w:right w:w="28" w:type="dxa"/>
        </w:tblCellMar>
      </w:tblPr>
      <w:tblGrid>
        <w:gridCol w:w="868"/>
        <w:gridCol w:w="765"/>
        <w:gridCol w:w="767"/>
        <w:gridCol w:w="479"/>
        <w:gridCol w:w="479"/>
        <w:gridCol w:w="481"/>
        <w:gridCol w:w="109"/>
        <w:gridCol w:w="109"/>
        <w:gridCol w:w="109"/>
        <w:gridCol w:w="893"/>
        <w:gridCol w:w="2540"/>
        <w:gridCol w:w="706"/>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3982" w:type="dxa"/>
        <w:jc w:val="left"/>
        <w:tblInd w:w="0" w:type="dxa"/>
        <w:tblLayout w:type="fixed"/>
        <w:tblCellMar>
          <w:top w:w="28" w:type="dxa"/>
          <w:left w:w="28" w:type="dxa"/>
          <w:bottom w:w="28" w:type="dxa"/>
          <w:right w:w="28" w:type="dxa"/>
        </w:tblCellMar>
      </w:tblPr>
      <w:tblGrid>
        <w:gridCol w:w="725"/>
        <w:gridCol w:w="636"/>
        <w:gridCol w:w="649"/>
        <w:gridCol w:w="314"/>
        <w:gridCol w:w="316"/>
        <w:gridCol w:w="109"/>
        <w:gridCol w:w="109"/>
        <w:gridCol w:w="109"/>
        <w:gridCol w:w="109"/>
        <w:gridCol w:w="196"/>
        <w:gridCol w:w="556"/>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June 30, 2026</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RSUs amounted to $68.5 million. The unrecognized expense for the RSUs is expected to be recognized over a weighted-average period of 2.1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RSUs which vested during the six months ended June 30, 2026 was $30.6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RSA activity for the six months ended June 30, 2026 (in thousands):</w:t>
      </w:r>
    </w:p>
    <w:p>
      <w:pPr>
        <w:pStyle w:val="TextBody"/>
        <w:bidi w:val="0"/>
        <w:spacing w:before="0" w:after="0"/>
        <w:jc w:val="both"/>
        <w:rPr/>
      </w:pPr>
      <w:r>
        <w:rPr/>
      </w:r>
    </w:p>
    <w:tbl>
      <w:tblPr>
        <w:tblW w:w="8231" w:type="dxa"/>
        <w:jc w:val="left"/>
        <w:tblInd w:w="0" w:type="dxa"/>
        <w:tblLayout w:type="fixed"/>
        <w:tblCellMar>
          <w:top w:w="28" w:type="dxa"/>
          <w:left w:w="28" w:type="dxa"/>
          <w:bottom w:w="28" w:type="dxa"/>
          <w:right w:w="28" w:type="dxa"/>
        </w:tblCellMar>
      </w:tblPr>
      <w:tblGrid>
        <w:gridCol w:w="868"/>
        <w:gridCol w:w="765"/>
        <w:gridCol w:w="767"/>
        <w:gridCol w:w="454"/>
        <w:gridCol w:w="454"/>
        <w:gridCol w:w="456"/>
        <w:gridCol w:w="109"/>
        <w:gridCol w:w="109"/>
        <w:gridCol w:w="109"/>
        <w:gridCol w:w="993"/>
        <w:gridCol w:w="2364"/>
        <w:gridCol w:w="783"/>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June 30, 2026</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RSAs amounted to $2.2 million. The unrecognized expense for the RSAs is expected to be recognized over a weighted-average period of 1.2 years, subject to continued vesting.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RSAs which vested during the six months ended June 30, 2026 was $2.3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Time-Based 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time-based stock options activity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951"/>
        <w:gridCol w:w="837"/>
        <w:gridCol w:w="840"/>
        <w:gridCol w:w="678"/>
        <w:gridCol w:w="678"/>
        <w:gridCol w:w="681"/>
        <w:gridCol w:w="109"/>
        <w:gridCol w:w="109"/>
        <w:gridCol w:w="109"/>
        <w:gridCol w:w="587"/>
        <w:gridCol w:w="1669"/>
        <w:gridCol w:w="329"/>
        <w:gridCol w:w="109"/>
        <w:gridCol w:w="109"/>
        <w:gridCol w:w="109"/>
        <w:gridCol w:w="345"/>
        <w:gridCol w:w="345"/>
        <w:gridCol w:w="346"/>
        <w:gridCol w:w="109"/>
        <w:gridCol w:w="109"/>
        <w:gridCol w:w="109"/>
        <w:gridCol w:w="241"/>
        <w:gridCol w:w="499"/>
        <w:gridCol w:w="198"/>
      </w:tblGrid>
      <w:tr>
        <w:trPr/>
        <w:tc>
          <w:tcPr>
            <w:tcW w:w="95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Ou</w:t>
            </w:r>
            <w:r>
              <w:rPr>
                <w:rFonts w:ascii="Times New Roman;serif" w:hAnsi="Times New Roman;serif"/>
                <w:b w:val="false"/>
                <w:color w:val="000000"/>
                <w:sz w:val="20"/>
              </w:rPr>
              <w:t>t</w:t>
            </w:r>
            <w:r>
              <w:rPr>
                <w:rFonts w:ascii="Times New Roman;serif" w:hAnsi="Times New Roman;serif"/>
                <w:b w:val="false"/>
                <w:color w:val="000000"/>
                <w:sz w:val="18"/>
              </w:rPr>
              <w:t>stan</w:t>
            </w:r>
            <w:r>
              <w:rPr>
                <w:rFonts w:ascii="Times New Roman;serif" w:hAnsi="Times New Roman;serif"/>
                <w:b w:val="false"/>
                <w:color w:val="000000"/>
                <w:sz w:val="20"/>
              </w:rPr>
              <w:t>ding</w:t>
            </w:r>
            <w:r>
              <w:rPr>
                <w:color w:val="000000"/>
              </w:rPr>
              <w:t xml:space="preserve"> </w:t>
            </w:r>
            <w:r>
              <w:rPr>
                <w:rFonts w:ascii="Times New Roman;serif" w:hAnsi="Times New Roman;serif"/>
                <w:b w:val="false"/>
                <w:color w:val="000000"/>
                <w:sz w:val="18"/>
              </w:rPr>
              <w:t>at December 31, 2025</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Out</w:t>
            </w:r>
            <w:r>
              <w:rPr>
                <w:rFonts w:ascii="Times New Roman;serif" w:hAnsi="Times New Roman;serif"/>
                <w:b w:val="false"/>
                <w:color w:val="000000"/>
                <w:sz w:val="20"/>
              </w:rPr>
              <w:t>standing</w:t>
            </w:r>
            <w:r>
              <w:rPr>
                <w:color w:val="000000"/>
              </w:rPr>
              <w:t xml:space="preserve"> </w:t>
            </w:r>
            <w:r>
              <w:rPr>
                <w:rFonts w:ascii="Times New Roman;serif" w:hAnsi="Times New Roman;serif"/>
                <w:b w:val="false"/>
                <w:color w:val="000000"/>
                <w:sz w:val="18"/>
              </w:rPr>
              <w:t>at June 30, 2026</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June 30, 2026</w:t>
            </w:r>
          </w:p>
        </w:tc>
        <w:tc>
          <w:tcPr>
            <w:tcW w:w="13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no time-based stock options remained outstanding and there is no remaining unrecognized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Market-Based 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market-based stock options activity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932"/>
        <w:gridCol w:w="821"/>
        <w:gridCol w:w="823"/>
        <w:gridCol w:w="689"/>
        <w:gridCol w:w="688"/>
        <w:gridCol w:w="691"/>
        <w:gridCol w:w="109"/>
        <w:gridCol w:w="109"/>
        <w:gridCol w:w="109"/>
        <w:gridCol w:w="592"/>
        <w:gridCol w:w="1685"/>
        <w:gridCol w:w="332"/>
        <w:gridCol w:w="109"/>
        <w:gridCol w:w="109"/>
        <w:gridCol w:w="109"/>
        <w:gridCol w:w="345"/>
        <w:gridCol w:w="345"/>
        <w:gridCol w:w="346"/>
        <w:gridCol w:w="109"/>
        <w:gridCol w:w="109"/>
        <w:gridCol w:w="109"/>
        <w:gridCol w:w="241"/>
        <w:gridCol w:w="499"/>
        <w:gridCol w:w="195"/>
      </w:tblGrid>
      <w:tr>
        <w:trPr/>
        <w:tc>
          <w:tcPr>
            <w:tcW w:w="9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June 30, 2026</w:t>
            </w:r>
          </w:p>
        </w:tc>
        <w:tc>
          <w:tcPr>
            <w:tcW w:w="13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market-based stock options amounted to $98.3 million. The unrecognized expense for the stock options is expected to be recognized over a weighted-average period of 3.3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many factors in determining the fair value of the market-based stock options and estimates the fair value of such awards on the grant date. The Company used a Monte Carlo Simulation Model (a binomial lattice-based valuation model) to estimate the fair value of the market-based stock options with the following assumptions as of June 30, 2026:</w:t>
      </w:r>
    </w:p>
    <w:p>
      <w:pPr>
        <w:pStyle w:val="TextBody"/>
        <w:bidi w:val="0"/>
        <w:spacing w:before="0" w:after="0"/>
        <w:jc w:val="both"/>
        <w:rPr/>
      </w:pPr>
      <w:r>
        <w:rPr/>
      </w:r>
    </w:p>
    <w:tbl>
      <w:tblPr>
        <w:tblW w:w="2771" w:type="dxa"/>
        <w:jc w:val="left"/>
        <w:tblInd w:w="0" w:type="dxa"/>
        <w:tblLayout w:type="fixed"/>
        <w:tblCellMar>
          <w:top w:w="28" w:type="dxa"/>
          <w:left w:w="28" w:type="dxa"/>
          <w:bottom w:w="28" w:type="dxa"/>
          <w:right w:w="28" w:type="dxa"/>
        </w:tblCellMar>
      </w:tblPr>
      <w:tblGrid>
        <w:gridCol w:w="624"/>
        <w:gridCol w:w="549"/>
        <w:gridCol w:w="552"/>
        <w:gridCol w:w="194"/>
        <w:gridCol w:w="182"/>
        <w:gridCol w:w="407"/>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Assumptions</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0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 in years</w:t>
      </w:r>
      <w:r>
        <w:rPr>
          <w:color w:val="000000"/>
        </w:rPr>
        <w:t xml:space="preserve"> </w:t>
      </w:r>
      <w:r>
        <w:rPr>
          <w:rFonts w:ascii="Times New Roman;serif" w:hAnsi="Times New Roman;serif"/>
          <w:b w:val="false"/>
          <w:color w:val="000000"/>
          <w:sz w:val="20"/>
        </w:rPr>
        <w:t>- The expected term is based on the average period the market-based stock options are expected to remain outstanding, generally calculated as the midpoint of the market-based stock options’ remaining vesting term and contractual expiration period, as the Company does not have sufficient historical information to develop reasonable expectations about future exercise patterns and post-vesting employment termination behavior.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 xml:space="preserve"> </w:t>
      </w:r>
      <w:r>
        <w:rPr>
          <w:rFonts w:ascii="Times New Roman;serif" w:hAnsi="Times New Roman;serif"/>
          <w:b w:val="false"/>
          <w:color w:val="000000"/>
          <w:sz w:val="20"/>
        </w:rPr>
        <w:t>- The expected volatility is based on the volatility of peer companies, as there is limited trading history for the Company’s common stock. Management believes this is the best estimate of the expected volatility over the expected life of the market-based stock options.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Risk-free rate </w:t>
      </w:r>
      <w:r>
        <w:rPr>
          <w:rFonts w:ascii="Times New Roman;serif" w:hAnsi="Times New Roman;serif"/>
          <w:b w:val="false"/>
          <w:color w:val="000000"/>
          <w:sz w:val="20"/>
        </w:rPr>
        <w:t>- The risk-free interest rate is based on the U.S. Treasury yield curve that corresponds with the expected term at the time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Dividend yield </w:t>
      </w:r>
      <w:r>
        <w:rPr>
          <w:rFonts w:ascii="Times New Roman;serif" w:hAnsi="Times New Roman;serif"/>
          <w:b w:val="false"/>
          <w:color w:val="000000"/>
          <w:sz w:val="20"/>
        </w:rPr>
        <w:t>- The Company has not paid and does not expect to pay dividends. Consequently, the Company uses an expected dividend yield of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Original Phantom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in September 2025, the Company had Original Phantom Units that were classified as a liability in Accrued expenses on the condensed consolidated balance sheets due to the cash settlement requirements. As the service conditions were considered probable, the Company recognized a liability of $0 and $1.2 million as of June 30, 2026 and December 31, 2025,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of $20.3 million and $44.5 million for the three and six months ended June 30, 2026, respectively. The Company recognized stock-based compensation expense of $1.8 million and $3.2 million for the three and six months ended June 30, 2025, respectively. During the three months ended June 30, 2026 and 2025, the Company recognized an income tax benefit (provision) of $0 related to stock-based compensation expense. Stock-based compensation expense is classified within Salaries and compensation in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Income Taxes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calculates the tax provision for interim periods using an estimated annual effective tax rate (“AETR”) adjusted for the effect of discrete items arising during the period. The Company’s effective tax rate for the three and six months ended June 30, 2026 was 0.0%. The Company’s effective tax rate for the three and six months ended June 30, 2025 was 0.0% and 1.7%, respectively. The effective tax rate for the three and six months ended June 30, 2026 was lower than the three and six months ended June 30, 2025, primarily due to the related increases to the continuing valuation allowance on deferred tax assets. The effective tax rate for the three and six months ended June 30, 2026 and 2025 was lower than the U.S. statutory rate of 21% primarily due to the continuing valuation allowance on deferred tax assets.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effects of temporary differences between the carrying amounts of assets and liabilities for financial reporting purposes and the amounts used for income tax purposes. As of each reporting date, management considers new evidence, both positive and negative, that could affect its view of the future realization of deferred tax assets and the need for a valuation allowance. Management determined that there is insufficient positive evidence to conclude that it is more likely than not that the Company’s gross deferred tax assets will be fully realized. As a result, a valuation allowance has been maintained against the Company's deferred tax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June 30, 2026, or December 31, 2025. The Company will continue to evaluate the implications of this legislation on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 Net Loss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Company's IPO in September 2025, the Company had three classes of common units (collectively referred to as the “Common Units”), including profits interest units, which were considered participating securities for purposes of calculating net loss per unit. Upon the consummation of the Company's IPO, all of the Company's pre-IPO Common Units were reclassified to Class A common stock and Class B common stock. The Company has retroactively adjusted the weighted average shares outstanding prior to the IPO to reflect this reclassification. Accordingly, the condensed consolidated financial statements present all references to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and per share data as if the conversion of Common Units into common stock had occurred at the beginning of all periods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basic and diluted net loss per share calculation for Class A common stock and Class B common stock for the three and six months ended June 30, 2026 and 2025, respectively, is presented below (in thousands, except per share amounts):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1"/>
        <w:gridCol w:w="1034"/>
        <w:gridCol w:w="1046"/>
        <w:gridCol w:w="287"/>
        <w:gridCol w:w="1033"/>
        <w:gridCol w:w="159"/>
        <w:gridCol w:w="109"/>
        <w:gridCol w:w="109"/>
        <w:gridCol w:w="109"/>
        <w:gridCol w:w="285"/>
        <w:gridCol w:w="1027"/>
        <w:gridCol w:w="159"/>
        <w:gridCol w:w="109"/>
        <w:gridCol w:w="109"/>
        <w:gridCol w:w="109"/>
        <w:gridCol w:w="307"/>
        <w:gridCol w:w="964"/>
        <w:gridCol w:w="170"/>
        <w:gridCol w:w="109"/>
        <w:gridCol w:w="109"/>
        <w:gridCol w:w="109"/>
        <w:gridCol w:w="266"/>
        <w:gridCol w:w="1079"/>
        <w:gridCol w:w="217"/>
      </w:tblGrid>
      <w:tr>
        <w:trPr/>
        <w:tc>
          <w:tcPr>
            <w:tcW w:w="119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attributable to common stockholders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 average common stock outstanding, basic and diluted</w:t>
            </w:r>
            <w:r>
              <w:rPr>
                <w:rFonts w:ascii="Times New Roman;serif" w:hAnsi="Times New Roman;serif"/>
                <w:b w:val="false"/>
                <w:color w:val="000000"/>
                <w:sz w:val="12"/>
              </w:rPr>
              <w:t>(1)(2)</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2"/>
        <w:gridCol w:w="795"/>
        <w:gridCol w:w="805"/>
        <w:gridCol w:w="289"/>
        <w:gridCol w:w="1012"/>
        <w:gridCol w:w="160"/>
        <w:gridCol w:w="132"/>
        <w:gridCol w:w="132"/>
        <w:gridCol w:w="132"/>
        <w:gridCol w:w="279"/>
        <w:gridCol w:w="1103"/>
        <w:gridCol w:w="155"/>
        <w:gridCol w:w="132"/>
        <w:gridCol w:w="132"/>
        <w:gridCol w:w="132"/>
        <w:gridCol w:w="289"/>
        <w:gridCol w:w="1012"/>
        <w:gridCol w:w="160"/>
        <w:gridCol w:w="132"/>
        <w:gridCol w:w="132"/>
        <w:gridCol w:w="132"/>
        <w:gridCol w:w="279"/>
        <w:gridCol w:w="1103"/>
        <w:gridCol w:w="155"/>
        <w:gridCol w:w="109"/>
        <w:gridCol w:w="109"/>
        <w:gridCol w:w="109"/>
        <w:gridCol w:w="162"/>
      </w:tblGrid>
      <w:tr>
        <w:trPr/>
        <w:tc>
          <w:tcPr>
            <w:tcW w:w="9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489" w:type="dxa"/>
            <w:gridSpan w:val="4"/>
            <w:tcBorders/>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(264,035)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 average common stock outstanding, basic and diluted</w:t>
            </w:r>
            <w:r>
              <w:rPr>
                <w:rFonts w:ascii="Times New Roman;serif" w:hAnsi="Times New Roman;serif"/>
                <w:b w:val="false"/>
                <w:color w:val="000000"/>
                <w:sz w:val="12"/>
              </w:rPr>
              <w:t>(1)(2)</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Prior to the IPO, the Common Units outstanding excludes 42,877,930 Common Units and 9,417,308 Catch Up Common Units that were issued and outstanding as profits interest units as of June 30, 2025. Vested Incentive Units and Convertible Preferred Units are considered as participating securities. However, these participating securities do not contractually require the holders to fund loss and were excluded from basic net loss per unit calculation for the three and six months ended June 30, 2025. Upon the consummation of the IPO, these units were fully converted into Class A common stock and Class B common stock and no longer outstanding.</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2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 xml:space="preserve">(2) </w:t>
            </w:r>
            <w:r>
              <w:rPr>
                <w:rFonts w:ascii="Times New Roman;serif" w:hAnsi="Times New Roman;serif"/>
                <w:b w:val="false"/>
                <w:color w:val="000000"/>
                <w:sz w:val="14"/>
              </w:rPr>
              <w:t>Prior to the IPO, weighted average common units outstanding includes only Capital Common Units A and certain Basic Common Units granted directly to individuals. The rights, including the liquidation and dividend rights, of the holders of these certain Basic Common Units and Capital Common Units A are identical and as a result, the undistributed losses are allocated on a proportionate basis and the resulting loss per share is the same. Upon the IPO, these units were fully reclassified into Class A common stock and Class B common stock and no longer outstanding. The effect of this reclassification is retroactively applied in the periods prior to the IPO.</w:t>
            </w:r>
          </w:p>
        </w:tc>
        <w:tc>
          <w:tcPr>
            <w:tcW w:w="489"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calculating diluted net loss per share, the Company determined no adjustments to basic net loss per share were required. Prior to the Company's IPO, potentially dilutive securities included Convertible Preferred Units and Convertible Notes which could be settled in the Company's Common Units. Following the IPO, potentially dilutive securities that may be settled in the Company's Class A common stock include stock-based awards. For the periods presented, these potentially dilutive securities were excluded from the computation of diluted net loss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share because their effect would have been anti-dilutive, as the Company reported a net loss. Accordingly, the Company did not apply the if-converted method to outstanding Convertible Preferred Units and Convertible Notes or the treasury stock method to the outstanding stock-based awards. For additional information, please refer to </w:t>
      </w:r>
      <w:r>
        <w:rPr>
          <w:rFonts w:ascii="Times New Roman;serif" w:hAnsi="Times New Roman;serif"/>
          <w:b w:val="false"/>
          <w:i/>
          <w:color w:val="000000"/>
          <w:sz w:val="20"/>
        </w:rPr>
        <w:t>Note 14.</w:t>
      </w:r>
      <w:hyperlink w:anchor="i0f118e29cc764f009862005db1c0e645_232">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Note 17.</w:t>
      </w:r>
      <w:r>
        <w:rPr>
          <w:color w:val="000000"/>
        </w:rPr>
        <w:t xml:space="preserve"> </w:t>
      </w: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18. Stock-Based Compensation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units were not included in the computation of diluted shares outstanding as the effect would have been antidilutive (in thousands):</w:t>
      </w:r>
    </w:p>
    <w:p>
      <w:pPr>
        <w:pStyle w:val="TextBody"/>
        <w:bidi w:val="0"/>
        <w:spacing w:before="0" w:after="0"/>
        <w:jc w:val="both"/>
        <w:rPr/>
      </w:pPr>
      <w:r>
        <w:rPr/>
      </w:r>
    </w:p>
    <w:tbl>
      <w:tblPr>
        <w:tblW w:w="4930" w:type="dxa"/>
        <w:jc w:val="left"/>
        <w:tblInd w:w="0" w:type="dxa"/>
        <w:tblLayout w:type="fixed"/>
        <w:tblCellMar>
          <w:top w:w="28" w:type="dxa"/>
          <w:left w:w="28" w:type="dxa"/>
          <w:bottom w:w="28" w:type="dxa"/>
          <w:right w:w="28" w:type="dxa"/>
        </w:tblCellMar>
      </w:tblPr>
      <w:tblGrid>
        <w:gridCol w:w="754"/>
        <w:gridCol w:w="663"/>
        <w:gridCol w:w="668"/>
        <w:gridCol w:w="393"/>
        <w:gridCol w:w="253"/>
        <w:gridCol w:w="248"/>
        <w:gridCol w:w="248"/>
        <w:gridCol w:w="248"/>
        <w:gridCol w:w="248"/>
        <w:gridCol w:w="448"/>
        <w:gridCol w:w="248"/>
        <w:gridCol w:w="248"/>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Units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RSAs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RSUs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14,968 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June 30, 2025, the Company had Convertible Notes with a fair value of $273.5 million, which were convertible, at the option of the holder upon maturity, into Series B Units at a price equal to 80% of the lowest original issue price per unit of the Series B Units. The underlying Series B Units were convertible into Common Units on a one-for-one basis. Please refer to </w:t>
      </w:r>
      <w:r>
        <w:rPr>
          <w:rFonts w:ascii="Times New Roman;serif" w:hAnsi="Times New Roman;serif"/>
          <w:b w:val="false"/>
          <w:i/>
          <w:color w:val="000000"/>
          <w:sz w:val="20"/>
        </w:rPr>
        <w:t>Note 14.</w:t>
      </w:r>
      <w:hyperlink w:anchor="i0f118e29cc764f009862005db1c0e645_232">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color w:val="000000"/>
        </w:rPr>
        <w:t xml:space="preserve"> </w:t>
      </w:r>
      <w:r>
        <w:rPr>
          <w:rFonts w:ascii="Times New Roman;serif" w:hAnsi="Times New Roman;serif"/>
          <w:b w:val="false"/>
          <w:color w:val="000000"/>
          <w:sz w:val="20"/>
        </w:rPr>
        <w:t>for additional information. Upon the consummation of the IPO in September 2025, all Convertible Notes were fully converted into shares of Class B common stock and are no longer outstanding.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21. Related Party Transactions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Related party securities purchase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2026, the Company entered into a securities purchase agreement with WCF, a related party through common ownership, pursuant to which the Company agreed to issue and sell, in a private placement, 7,142,857 shares of the Company’s Class A common stock, at a price of $14.00 per share for aggregate proceeds to the Company of $100.0 million, with consideration paid in approximately 1,258 bitcoin. As of June 30, 2026, the Company held approximately 988 bitcoin received in connection with the Private Placement, with an aggregate fair value of approximately $57.9 million. These bitcoin are included in Crypto assets held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Security services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entered into a services agreement with Winklevoss Capital Management, LLC (“WCM”), a related party through common ownership, pursuant to which WCM provides executive protection, secure transportation and risk advisory services for our Chief Executive Officer, President, their family members, and, as appropriate, other individuals designated by Gemini from time to time. The agreement has an initial one-year term and renews automatically unless earlier terminated. Under the agreement, the Company pays WCM a fixed monthly rate of $400,000, plus reimbursement of certain other expenses. WCM has agreed to waive any fees, costs, or expenses that exceed $1,000,000 in the aggregate for the first year of this agreement. The Company incurred expenses of $0 and $0.4 million under this agreement during the three and six months ended June 30, 2026, respectively. These expenses were classified as General and administrative on the condensed consolidated statements of operations and comprehensive loss. There were no outstanding amounts related to WCM included in Accrued expenses as of June 30, 2026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Services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2017, the Company entered into an amended services agreement with Winklevoss Capital Management, LLC, a related party through common ownership, for WCM to provide management and consulting services to the Company (the “Services Agreement”). In exchange for these services, the Company incurs a fee based on an allocation of WCM employee compensation proportional to WCM employee time spent providing services to the Company. The Company incurred $0.1 million under this agreement during the three and six months ended June 30, 2025, and did not incur any expenses in 2026. These expenses were classified as General and administrative on the condensed consolidated statements of operations and comprehensive loss. No amounts outstanding related to WCM were included in Accrued expenses as of December 31, 2025 and June 30, 2026, respectively, on the condensed consolidated balance sheets. The agreement with WCM for management and consulting services was terminated in August 2025. No further expenses were incurred and no further payments were made pursuant to these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Computer services and storage facilities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2017, the Company entered into an agreement with Elysian Networks, LLC (“Elysian”), a related party through common ownership, pursuant to which Elysian provided equipment leasing, cloud-based servers, data storage and computer processing services to the Company. The Company incurred $0.1 million and $0.2 million under this agreement during the three and six months ended June 30, 2025, respectively. These expenses were classified as Technology on the condensed consolidated statements of operations and comprehensive loss. No amounts outstanding were included in Accrued expenses as of June 30, 2026 and December 31, 2025 on the condensed consolidated balance sheets. The agreement with Elysian was terminated in August 2025, and no further expenses have been incurred or payments made pursuant to the agreement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WCF, a related party through common ownership, accounted for $0.4 million and $0.7 million of the Company’s revenue during the three and six months ended June 30, 2026, respectively, and $0.6 million and $1.2 million of the Company's revenue during the three and six months ended June 30, 2025, respectively. WCF accounted for $0.1 million of the Company’s Accounts receivable, net, as of both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loans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14.</w:t>
      </w:r>
      <w:hyperlink w:anchor="i0f118e29cc764f009862005db1c0e645_232">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22. Commitments and Contingencies</w:t>
      </w:r>
    </w:p>
    <w:p>
      <w:pPr>
        <w:pStyle w:val="TextBody"/>
        <w:bidi w:val="0"/>
        <w:spacing w:lineRule="auto" w:line="556"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card receivables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partnership with a credit card issuing bank (the “Issuing Bank”), the Company offers a credit card product to its customers. Under the terms of the program agreement, the Company is required to purchase from the Issuing Bank all credit card receivables originated under the program and offered for sale to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Credit card receivables purchased under this arrangement are recorded on the Company’s consolidated balance sheets upon transfer. As of June 30, 2026 and December 31, 2025, the Company had purchased credit card receivables of $219.6 million and $219.8 million, respectively, from the Issuing Bank. Amounts payable to the Issuing Bank for receivables purchased but not yet settled in cash were $20.5 million and $12.8 million as of June 30, 2026 and December 31, 2025, respectively, and are included in Other current liabilities on the condensed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Certain credit card receivables are pledged as collateral under the Company's Ripple Credit Agreement (see </w:t>
      </w:r>
      <w:r>
        <w:rPr>
          <w:rFonts w:ascii="Times New Roman;serif" w:hAnsi="Times New Roman;serif"/>
          <w:b w:val="false"/>
          <w:i/>
          <w:color w:val="000000"/>
          <w:sz w:val="20"/>
        </w:rPr>
        <w:t>Note 16. Funding Debt</w:t>
      </w:r>
      <w:r>
        <w:rPr>
          <w:rFonts w:ascii="Times New Roman;serif" w:hAnsi="Times New Roman;serif"/>
          <w:b w:val="false"/>
          <w:color w:val="000000"/>
          <w:sz w:val="20"/>
        </w:rPr>
        <w:t>). As of June 30, 2026 and December 31, 2025, the carrying value of pledged credit card receivables was $185.7 million and $188.8 million,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creates an ongoing commitment for the Company to purchase future receivables as they are originated. The amount of future purchases will fluctuate based on customer activity, credit card usage, and credit performance. The Company believes it maintains sufficient liquidity to fund these purchases as they become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and regulatory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and may in the future be involved in, various litigation matters, legal claims, investigations, and regulatory proceedings arising in the ordinary course of business. In accordance with applicable accounting guidance, the Company accrues for loss contingencies when management determines that it is both probable that losses have been incurred and that the losses can be reasonably estimable. The Company accrued $1.1 million and $1.0 million in estimated loss contingencies as of June 30, 2026 and December 31, 2025, respectively, which are included in Accrued expenses on the condensed consolidated balance sheets.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estimated loss contingencies relate to any unsettled matters in which management has determined that a loss is probable and reasonably estimable. With respect to these matters, management believes losses in excess of amounts accrued, if any, are reasonably possible but cannot be reasonably estimated based on current available information. The Company disputes these claims and intends to defend these matters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Futures Trading Commission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Gemini Trust Company, LLC ("GTC"), was the subject of a lawsuit that the CFTC filed in the U.S. District Court for the Southern District of New York ("SDNY") on June 2, 2022. GTC and the CFTC settled the matter by means of a consent order that was filed on January 6, 2025. In material part, the consent order stated that GTC violated Section 6(c)(2) of the Commodity Exchange Act by making certain statements to CFTC staff that GTC reasonably should have known were false or misleading, and GTC also failed to disclose certain facts needed to make its statements not false or misleading. Without admitting or denying liability, GTC agreed via a consent order to pay a $5.0 million civil monetary penalty, and to be permanently enjoined from making false or misleading statements or omitting to state material facts to the CFTC. On May 27, 2026, GTC and the CFTC filed a joint motion under Federal Rule 60(b) to vacate the consent order.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Litigation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18, 2026, a putative securities class action complaint was filed in the SDNY against the Company, certain of its current and former officers, and its directors. The complaint alleges violations of Sections 11 and 15 of the Securities Act of 1933, as amended, and Sections 10(b) and 20(a) of the Securities Exchange Act of 1934, as amended, based on alleged materially false or misleading statements and omissions in the Company’s registration statement and prospectus issued in connection with its initial public offering, as well as certain subsequent public disclosures. The plaintiff seeks, among other relief, compensatory damages, pre- and post-judgment interest, attorneys’ fees and costs. The Company intends to vigorously defend against the claims. On June 17, 2026, the court appointed co-lead plaintiffs and set an August 21, 2026 deadline for them to file an operative complaint. Based on the preliminary stage of the proceeding, the Company is unable to predict the outcome of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Prediction Markets Lawsuit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New York Attorney General filed a petition against Gemini Titan, LLC ("Gemini Titan"), a wholly-owned subsidiary of the Company, in the Supreme Court of the State of New York alleging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Gemini Titan was operating an unlicensed gambling business and offering unauthorized sports wagering in New York through Gemini Predictions, and seeking injunctive relief, restitution, disgorgement, damages and civil penalties. On April 22, 2026, Gemini Titan removed the case to the SDNY and on May 1, 2026, the New York Attorney General filed a motion to remand the case to state court. The Company intends to vigorously defend against the claims in either venue. Based on the preliminary stage of the proceeding, the Company is unable to predict the outcome of this matter.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April 2026 Shareholder Derivative 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22, 2026, a shareholder derivative complaint was filed in the Eighth Judicial District Court, Clark County, Nevada, purportedly on behalf of the Company, against certain of the Company’s current and former officers and directors, with the Company named as a nominal defendant. The complaint alleges breach of fiduciary duty, unjust enrichment, waste of corporate assets, gross mismanagement, and abuse of control based on alleged materially false or misleading statements and omissions in the Company’s registration statement and prospectus issued in connection with its initial public offering, as well as certain subsequent public disclosures. The plaintiff seeks, among other relief, compensatory damages, pre- and post-judgment interest, attorneys’ fees and costs, and certain governance changes via injunctive relief. The Company intends to vigorously defend against the claims. On June 18, 2026, the court entered a stipulation and order staying the action in its entirety, including all deadlines, hearings, and conferences, pending resolution of the securities class action litigation discussed above. Based on the preliminary stage of the proceeding, the Company is unable to predict the outcome of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June 2026 Shareholder Derivative 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30, 2026, a second shareholder derivative complaint was filed in the Eighth Judicial District Court, Clark County, Nevada, purportedly on behalf of the Company, against certain of the Company’s current and former officers and directors, with the Company named as a nominal defendant. The complaint alleges breach of fiduciary duty and unjust enrichment arising out of the Company’s initial public offering, certain related-party transactions, alleged materially false or misleading statements and omissions in the Company’s registration statement and prospectus issued in connection with its initial public offering and certain subsequent public disclosures, and the Company’s subsequent business developments. The plaintiff seeks, among other relief, damages, disgorgement, corporate governance reforms, pre- and post-judgment interest, and attorneys’ fees and costs. The Company intends to vigorously defend against the claims. Based on the preliminary stage of the proceeding, the Company is unable to predict the outcome of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other matters for which it is unable to reasonably estimate a possible range of loss, if any. While the outcome of these matters is inherently uncertain and adverse decisions or settlements may occur from time to time, the Company does not currently believe that the ultimate resolution of any such matters will have a material adverse effect on its consolidated results of operations, financial position, or liquidity. However, the resolution of one or more of these matters could be material to the Company’s operating results for a particular reporting period, and the Company cannot provide assurance regarding their ultimate outcome.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23. Subsequent Events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Gemini Stocks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7, 2026, the Company launched stock trading, offering commission-free trading of certain U.S. stocks for certain customers in the United States through our broker-dealer affiliate, Gemini Galactic Markets, LLC. The service enables customers to buy and sell U.S. exchange-listed equity securities and exchange-traded funds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Gemini platform, with real-time market data provided by Nasdaq and clearing and custody services provided by Apex Clearing Corporation.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Surety Bond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12, 2026, the Company reduced the required bitcoin collateral under its surety bond program with Indemnity National Insurance Company ("INIC") from 60% to 25%, effectively freeing up 163.7 bitcoin valued at $10.7 million originally held as collateral. The previously pledged collateral was returned to the Company for general business purposes of the Company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the related notes appearing elsewhere in this Quarterly Report</w:t>
      </w:r>
      <w:r>
        <w:rPr>
          <w:color w:val="000000"/>
        </w:rPr>
        <w:t xml:space="preserve"> </w:t>
      </w:r>
      <w:r>
        <w:rPr>
          <w:rFonts w:ascii="Times New Roman;serif" w:hAnsi="Times New Roman;serif"/>
          <w:b w:val="false"/>
          <w:i/>
          <w:color w:val="000000"/>
          <w:sz w:val="20"/>
        </w:rPr>
        <w:t>on Form 10-Q and with our audited financial statements and the notes thereto for the year ended December 31, 2025, included in our Annual Report on Form 10-K filed with the Securities and Exchange Commission on March 31,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You should read the sections titled “Risk Factors” and “Cautionary Note Regarding Forward-Looking Statements”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pPr>
      <w:r>
        <w:rPr/>
      </w:r>
    </w:p>
    <w:p>
      <w:pPr>
        <w:pStyle w:val="TextBody"/>
        <w:bidi w:val="0"/>
        <w:spacing w:lineRule="auto" w:line="288" w:before="0" w:after="0"/>
        <w:ind w:left="0" w:right="0" w:firstLine="44"/>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w:t>
      </w:r>
    </w:p>
    <w:p>
      <w:pPr>
        <w:pStyle w:val="TextBody"/>
        <w:bidi w:val="0"/>
        <w:spacing w:before="0" w:after="0"/>
        <w:ind w:left="0" w:right="0" w:firstLine="3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Gemini was founded in 2014 to be the most trusted, secure, and easy way to buy, sell, and store crypto assets. As of June 30, 2026, we served approximately 580,000 MTUs with over $8.4 billion of assets on our platform.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core exchange product has expanded over time to become a more comprehensive platform that enables users to engage with not only the cryptoeconomy, but also markets across a broad range of products and services. Our products and services include a derivatives exchange, staking services, spot margin trading services, an OTC trading desk, institutional-grade custody, a New York Department of Financial Services (“NYDFS”)-regulated stablecoin, a U.S.-based credit card program, and, more recently, a prediction markets platform (as of December 2025) and U.S. stocks (as of July 2026). We are building Gemini as an integrated platform with shared infrastructure for both money and markets and we intend to serve our users through a unified, multi-product experience.</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strive to deliver a seamless user experience to both retail and institutional users:</w:t>
      </w:r>
    </w:p>
    <w:p>
      <w:pPr>
        <w:pStyle w:val="TextBody"/>
        <w:bidi w:val="0"/>
        <w:spacing w:before="0" w:after="0"/>
        <w:ind w:left="0" w:right="0" w:firstLine="504"/>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Retail</w:t>
      </w:r>
      <w:r>
        <w:rPr>
          <w:rFonts w:ascii="Times New Roman;serif" w:hAnsi="Times New Roman;serif"/>
          <w:b w:val="false"/>
          <w:color w:val="000000"/>
          <w:sz w:val="20"/>
        </w:rPr>
        <w:t>: We often serve as a primary gateway for individual retail users into the cryptoeconomy and markets. We provide a user-friendly, secure platform and mobile app for users to buy, sell, store, stake, and transfer a variety of crypto assets and, as of July 2026, U.S. stocks. Our products aim to suit the needs of beginners and sophisticated users alike.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Institutional: </w:t>
      </w:r>
      <w:r>
        <w:rPr>
          <w:rFonts w:ascii="Times New Roman;serif" w:hAnsi="Times New Roman;serif"/>
          <w:b w:val="false"/>
          <w:color w:val="000000"/>
          <w:sz w:val="20"/>
        </w:rPr>
        <w:t>We provide institutional investors, including asset managers, hedge funds, proprietary trading firms, and corporations with a robust and secure platform to access crypto and traditional markets. We offer advanced trading, OTC trading, and institutional-grade custody.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customer crypto assets are held in full on our platform, ensuring every unit of cryptocurrency or fiat held by a user is available to the user. We hold MTLs or the statutory equivalent in all states that require such licenses so that we are able to operate in all 50 states and have direct access to fiat banking rails.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generated total revenue of $45.5 million and $95.7 million, respectively, net income (loss) of $(107.7) million and $(216.7) million, respectively, and Adjusted EBITDA of $(74.0) million and $(134.0) million, respectively. For the three and six months ended June 30, 2025, we generated total revenue of $33.3 million and $68.6 million, respectively, net income (loss) of $(133.2) million and $(282.5) million, respectively, and Adjusted EBITDA of $(51.9) million and $(113.5)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monetize the products and services offerings on our platform primarily through fee-based revenue. Fee revenues are predominantly transaction-related fees on trade volume for our exchange and OTC platforms. In addition, we also earn revenue from custody services, withdrawal fees, credit card fees and advisory fees. A substantial portion of our total revenue is generated from transaction fees earned on volume-based trades across retail and institutional users on our exchange. For the three and six months ended June 30, 2026, exchange revenue represented 27.5% and 31.0% of our total revenue, respectively. Retail investors accounted for approximately 88% and 87% of exchange revenue for the three and six months ended June 30, 2026, respectively. For the three and six months ended June 30, 2025, exchange revenue represented 60.8% and 63.8% of our total revenue, respectively. Retail investors accounted for approximately 93% and 95% of exchange revenue for the three and six months ended June 30, 2025, respectively. Interest income is derived from USD-denominated assets we hold on our balance sheet that back our GUSD stablecoin.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unaudited condensed consolidated financial statements, we use the key business metrics listed below to evaluate our business, measure our performance, identify trends affecting our business, and make strategic decisions:</w:t>
      </w:r>
    </w:p>
    <w:tbl>
      <w:tblPr>
        <w:tblW w:w="10205" w:type="dxa"/>
        <w:jc w:val="left"/>
        <w:tblInd w:w="0" w:type="dxa"/>
        <w:tblLayout w:type="fixed"/>
        <w:tblCellMar>
          <w:top w:w="28" w:type="dxa"/>
          <w:left w:w="28" w:type="dxa"/>
          <w:bottom w:w="28" w:type="dxa"/>
          <w:right w:w="28" w:type="dxa"/>
        </w:tblCellMar>
      </w:tblPr>
      <w:tblGrid>
        <w:gridCol w:w="1157"/>
        <w:gridCol w:w="1019"/>
        <w:gridCol w:w="1026"/>
        <w:gridCol w:w="245"/>
        <w:gridCol w:w="995"/>
        <w:gridCol w:w="136"/>
        <w:gridCol w:w="136"/>
        <w:gridCol w:w="136"/>
        <w:gridCol w:w="136"/>
        <w:gridCol w:w="245"/>
        <w:gridCol w:w="995"/>
        <w:gridCol w:w="136"/>
        <w:gridCol w:w="136"/>
        <w:gridCol w:w="136"/>
        <w:gridCol w:w="136"/>
        <w:gridCol w:w="245"/>
        <w:gridCol w:w="995"/>
        <w:gridCol w:w="136"/>
        <w:gridCol w:w="136"/>
        <w:gridCol w:w="136"/>
        <w:gridCol w:w="136"/>
        <w:gridCol w:w="245"/>
        <w:gridCol w:w="995"/>
        <w:gridCol w:w="136"/>
        <w:gridCol w:w="109"/>
        <w:gridCol w:w="166"/>
      </w:tblGrid>
      <w:tr>
        <w:trPr/>
        <w:tc>
          <w:tcPr>
            <w:tcW w:w="115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20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Monthly Transacting Users</w:t>
            </w:r>
            <w:r>
              <w:rPr>
                <w:color w:val="000000"/>
              </w:rPr>
              <w:t xml:space="preserve"> </w:t>
            </w:r>
            <w:r>
              <w:rPr>
                <w:rFonts w:ascii="Times New Roman;serif" w:hAnsi="Times New Roman;serif"/>
                <w:b w:val="false"/>
                <w:i/>
                <w:color w:val="000000"/>
                <w:sz w:val="18"/>
              </w:rPr>
              <w:t>(in thousands)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Lifetime Transacting Users </w:t>
            </w:r>
            <w:r>
              <w:rPr>
                <w:rFonts w:ascii="Times New Roman;serif" w:hAnsi="Times New Roman;serif"/>
                <w:b w:val="false"/>
                <w:i/>
                <w:color w:val="000000"/>
                <w:sz w:val="18"/>
              </w:rPr>
              <w:t>(in thousands)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Card Sign-Ups </w:t>
            </w:r>
            <w:r>
              <w:rPr>
                <w:rFonts w:ascii="Times New Roman;serif" w:hAnsi="Times New Roman;serif"/>
                <w:b w:val="false"/>
                <w:i/>
                <w:color w:val="000000"/>
                <w:sz w:val="18"/>
              </w:rPr>
              <w:t>(in thousands)</w:t>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Trading Volume </w:t>
            </w:r>
            <w:r>
              <w:rPr>
                <w:rFonts w:ascii="Times New Roman;serif" w:hAnsi="Times New Roman;serif"/>
                <w:b w:val="false"/>
                <w:i/>
                <w:color w:val="000000"/>
                <w:sz w:val="18"/>
              </w:rPr>
              <w:t>(in billions)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Assets on Platform </w:t>
            </w:r>
            <w:r>
              <w:rPr>
                <w:rFonts w:ascii="Times New Roman;serif" w:hAnsi="Times New Roman;serif"/>
                <w:b w:val="false"/>
                <w:i/>
                <w:color w:val="000000"/>
                <w:sz w:val="18"/>
              </w:rPr>
              <w:t>(in billions)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(Loss) </w:t>
            </w:r>
            <w:r>
              <w:rPr>
                <w:rFonts w:ascii="Times New Roman;serif" w:hAnsi="Times New Roman;serif"/>
                <w:b w:val="false"/>
                <w:i/>
                <w:color w:val="000000"/>
                <w:sz w:val="18"/>
              </w:rPr>
              <w:t>(in thousands)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(282,476)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i/>
                <w:color w:val="000000"/>
                <w:sz w:val="18"/>
              </w:rPr>
              <w:t>(in thousands)</w:t>
            </w:r>
            <w:r>
              <w:rPr>
                <w:rFonts w:ascii="Times New Roman;serif" w:hAnsi="Times New Roman;serif"/>
                <w:b w:val="false"/>
                <w:color w:val="000000"/>
                <w:sz w:val="12"/>
              </w:rPr>
              <w:t>(1)</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(133,959)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930"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See the section below titled “Adjusted EBITDA” for a reconciliation of net income (loss) to Adjusted EBITDA and an explanation for why we consider Adjusted EBITDA to be a helpful metric for investors.</w:t>
            </w:r>
          </w:p>
        </w:tc>
        <w:tc>
          <w:tcPr>
            <w:tcW w:w="275"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Monthly Transacting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an MTU as any retail or institutional user who has engaged in any revenue-generating activity or whose account otherwise generated revenue for the Company in the trailing thirty days, including transacting on our spot or derivatives exchange or on Gemini Predictions, holding a digital asset or fiat balance in a Gemini exchange account that generates revenue for the Company, holding a digital asset balance in a Gemini Custody account, holding a balance in our pooled Staking product, making a transaction or holding a balance on the Gemini Credit Card, or completing a fiat (wire) or digital asset withdrawal from our platform. MTUs also engage in transactions that are non-revenue generating, such as consumers sending and receiving crypto assets between wallets.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view MTUs as an indicator of platform engagement and overall business health, and MTUs also serve as a top-of-funnel metric in our internal financial forecasting processes. MTUs directly correlate with other key performance indicators, such as Trading Volume, and revenue, particularly because transaction-based fees represent the majority of our revenue. For example, for the six months ended June 30, 2026, approximately 43.6% of our revenue was derived from transaction fees. As MTUs increase, we generally experience increased transaction activity, which leads to increased fee-based revenue. In turn, this generally supports a higher gross margin and contributes to increases in net income. We also use MTUs to help evaluate the performance of our growth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our efforts to acquire new retail and institutional users and broaden the number and type of crypto assets supported on 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MTUs may overstate the number of unique users due to differences in product architecture or user behavior. For instance, regarding product architecture, our platform includes distinct products that utilize separate account structures and store user data in separate databases. While we seek to identify overlapping users across these products by cross-referencing shared information (e.g., email addresses), a single user who registered on, for example, both the exchange and Nifty Gateway using different credentials could have been counted as two MTUs. Relatedly, regarding user behavior, our metrics may result in overstatement where a user intentionally or inadvertently maintains multiple accounts using different email addresses, phone numbers, or usernames. While we actively monitor for duplicate, fraudulent, or spam accounts and exclude those from our key metrics, we may not be able to fully eliminate all duplication among legitimate users.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Overall, we believe MTUs provide a measure of the breadth of active user engagement with our products, and we use this metric, among others, to evaluate the effectiveness of our user acquisition, product expansion, and engagement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MTUs presented for a quarter represent the MTUs as of the last day of the respective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Lifetime Transacting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LTUs represent the cumulative number of unique MTUs who have ever transacted on our platform and continue to maintain an open account, measured since inception.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LTUs provide a long-term measure of the breadth of our customer base and reflect the aggregate adoption of our platform over time. While MTUs capture monthly activity, LTUs illustrate the durability of customer relationships, since users who maintain open accounts—even if inactive in a given period—remain part of our ecosystem and are candidates for reactivation. We use LTUs to evaluate the effectiveness of our acquisition strategies and to assess the long-term potential for engagement and monetization.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LTUs, like MTUs, may be subject to overstatement due to duplicate accounts or product architecture. For example, a user who maintains separate accounts across Gemini products, or who re-registers with different credentials, may be counted more than once. While we actively monitor for and remove duplicate, fraudulent, or spam accounts, our reported LTUs may not fully eliminate all duplication.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Card Sign-Ups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Card Sign-Ups as the cumulative number of approved applications for the Gemini Credit Card in the relevant period. Card Sign-Ups include customers who have been approved to open an account, regardless of whether they have subsequently activated or used their card or whether the account later remains open.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Card Sign-Ups represent the breadth of adoption of the Gemini Credit Card and reflect the effectiveness of our acquisition efforts. We view Card Sign-Ups as an indicator of potential future card revenue, including interchange revenue, receivables, and crypto rewards engagement. While not all approved applicants activate or use their cards, higher levels of Card Sign-Ups expand the addressable base of Open Card Accounts.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define Open Card Accounts as the cumulative number of Gemini Credit Card accounts with an open credit line as of the end of the applicable period. Open Card Accounts is intended to capture the number of card accounts that remain open and helps reflect the impact of subsequent account closures, including customer-requested closures and closures by Gemini for suspected or confirmed fraud, failure to satisfy card program eligibility requirements, or other risk-management, compliance, or administrative reasons.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Card Sign-Ups do not directly measure cardholder activity, as not all approved applicants activate or use their cards. In addition, because Card Sign-Ups include approved accounts regardless of subsequent account status, Card Sign-Ups may be subject to overstatement. Accordingly, growth in Card Sign-Ups should be evaluated together with other metrics to provide a comprehensive view of card program performance.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Trading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Trading Volume as the total U.S. dollar equivalent value of spot matched trades transacted between a buyer and seller through our platform during the period of measurement. Trading Volume represents the product of the quantity of assets transacted and the trade price at the time the transaction was executed. As trading activity directly impacts transaction revenue, we believe this measure is a reflection of liquidity of our order book and the underlying growth of the cryptoeconomy.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Trading Volume on our platform is primarily influenced by the price of crypto assets, crypto asset volatility, and macroeconomic conditions. In periods of high crypto asset prices and crypto asset volatility, we have experienced correspondingly high levels of Trading Volume on our platform. We expect that our Trading Volume in future periods will depend on the relative availability and adoption of bitcoin, ether, XRP, and other crypto assets.</w:t>
      </w:r>
    </w:p>
    <w:p>
      <w:pPr>
        <w:pStyle w:val="TextBody"/>
        <w:bidi w:val="0"/>
        <w:spacing w:before="0" w:after="0"/>
        <w:ind w:left="0" w:right="0" w:firstLine="504"/>
        <w:jc w:val="both"/>
        <w:rPr/>
      </w:pPr>
      <w:r>
        <w:rPr/>
      </w:r>
    </w:p>
    <w:tbl>
      <w:tblPr>
        <w:tblW w:w="8996" w:type="dxa"/>
        <w:jc w:val="left"/>
        <w:tblInd w:w="0" w:type="dxa"/>
        <w:tblLayout w:type="fixed"/>
        <w:tblCellMar>
          <w:top w:w="28" w:type="dxa"/>
          <w:left w:w="28" w:type="dxa"/>
          <w:bottom w:w="28" w:type="dxa"/>
          <w:right w:w="28" w:type="dxa"/>
        </w:tblCellMar>
      </w:tblPr>
      <w:tblGrid>
        <w:gridCol w:w="1353"/>
        <w:gridCol w:w="1186"/>
        <w:gridCol w:w="1196"/>
        <w:gridCol w:w="269"/>
        <w:gridCol w:w="516"/>
        <w:gridCol w:w="149"/>
        <w:gridCol w:w="149"/>
        <w:gridCol w:w="149"/>
        <w:gridCol w:w="149"/>
        <w:gridCol w:w="269"/>
        <w:gridCol w:w="640"/>
        <w:gridCol w:w="149"/>
        <w:gridCol w:w="109"/>
        <w:gridCol w:w="109"/>
        <w:gridCol w:w="109"/>
        <w:gridCol w:w="234"/>
        <w:gridCol w:w="557"/>
        <w:gridCol w:w="130"/>
        <w:gridCol w:w="130"/>
        <w:gridCol w:w="130"/>
        <w:gridCol w:w="130"/>
        <w:gridCol w:w="234"/>
        <w:gridCol w:w="557"/>
        <w:gridCol w:w="130"/>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Trading Volume (in billions):</w:t>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269"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Institutional</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Trading Volume by Crypto Asset (in billions):</w:t>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269"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0"/>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XRP</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i/>
                <w:color w:val="000000"/>
                <w:sz w:val="18"/>
              </w:rPr>
            </w:pPr>
            <w:r>
              <w:rPr>
                <w:rFonts w:ascii="Times New Roman;serif" w:hAnsi="Times New Roman;serif"/>
                <w:b/>
                <w:i/>
                <w:color w:val="000000"/>
                <w:sz w:val="18"/>
              </w:rPr>
              <w:t>Exchange Revenue by Crypto Asset (in millions):</w:t>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269"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0"/>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XRP</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no asset other than bitcoin and ether individually represented more than 10% of our Trading Volume. During the three and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2026, no asset other than bitcoin and ether individually represented more than 10% of our exchange revenue. During the three and six months ended June 30, 2025, no asset other than bitcoin, ether, and XRP individually represented more than 10% of our exchange revenue.</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on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on Platform represents the total value of assets held on our platform and includes digital assets in custody, staking, and exchange products, user custodial fiat, and GUSD reserve assets. We view Assets on Platform as evidence of the trust that users place in our platform. The total value of Assets on Platform is influenced by various factors, including interest rates, asset prices, and the quantity and type of digital assets that users store or trade. We monetize Assets on Platform by offering custody, staking, and exchange products that generate fees based on user activity. We generally expect any growth of Assets on Platform to correlate with engagement with our products, driving transaction and services revenue for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Fluctuations in crypto asset prices and changes in the quantity or types of assets held can cause Assets on Platform to rise or fall over a given period. For instance, the total quantity of assets (in crypto units or fiat) may increase in a period, but Assets on Platform could decrease if the price of one or more crypto assets drops in that period. Conversely, Assets on Platform may grow even if the quantity of assets decreases in a period, provided rising crypto prices offset that decline. Because Assets on Platform depends on multiple market-driven variables, it naturally fluctuates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derived a material portion of our Assets on Platform from the storage of bitcoin and ether. As of June 30, 2026, bitcoin, ether, and other crypto assets represented 65.5%, 15.5%, and 14.3% of Assets on Platform, respectively, and customer custodial fiat assets represented 4.8% of Assets on Platform. As of June 30, 2025, bitcoin, ether, and other crypto assets represented 74.7%, 14.3%, and 8.2% of Assets on Platform, respectively, and customer custodial fiat assets represented 2.7% of Assets on Platform. </w:t>
      </w:r>
    </w:p>
    <w:p>
      <w:pPr>
        <w:pStyle w:val="TextBody"/>
        <w:bidi w:val="0"/>
        <w:spacing w:before="0" w:after="0"/>
        <w:jc w:val="both"/>
        <w:rPr/>
      </w:pPr>
      <w:r>
        <w:rPr/>
      </w:r>
    </w:p>
    <w:tbl>
      <w:tblPr>
        <w:tblW w:w="4516" w:type="dxa"/>
        <w:jc w:val="left"/>
        <w:tblInd w:w="0" w:type="dxa"/>
        <w:tblLayout w:type="fixed"/>
        <w:tblCellMar>
          <w:top w:w="28" w:type="dxa"/>
          <w:left w:w="28" w:type="dxa"/>
          <w:bottom w:w="28" w:type="dxa"/>
          <w:right w:w="28" w:type="dxa"/>
        </w:tblCellMar>
      </w:tblPr>
      <w:tblGrid>
        <w:gridCol w:w="895"/>
        <w:gridCol w:w="788"/>
        <w:gridCol w:w="791"/>
        <w:gridCol w:w="196"/>
        <w:gridCol w:w="376"/>
        <w:gridCol w:w="109"/>
        <w:gridCol w:w="109"/>
        <w:gridCol w:w="109"/>
        <w:gridCol w:w="109"/>
        <w:gridCol w:w="196"/>
        <w:gridCol w:w="466"/>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Assets on Platform (in billions):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Customer custodial fiat assets</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profitability and business trends in a way that is consistent with how management evaluates such matters. Among other non-cash and non-recurring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the quarter ended March 31, 2026,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below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reconciliation of net income (loss) to Adjusted EBITDA for the three and six months ended June 30, 2026 and 2025:</w:t>
      </w:r>
    </w:p>
    <w:p>
      <w:pPr>
        <w:pStyle w:val="TextBody"/>
        <w:bidi w:val="0"/>
        <w:spacing w:before="0" w:after="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634"/>
        <w:gridCol w:w="1431"/>
        <w:gridCol w:w="1440"/>
        <w:gridCol w:w="196"/>
        <w:gridCol w:w="808"/>
        <w:gridCol w:w="109"/>
        <w:gridCol w:w="109"/>
        <w:gridCol w:w="109"/>
        <w:gridCol w:w="109"/>
        <w:gridCol w:w="196"/>
        <w:gridCol w:w="808"/>
        <w:gridCol w:w="109"/>
        <w:gridCol w:w="109"/>
        <w:gridCol w:w="109"/>
        <w:gridCol w:w="109"/>
        <w:gridCol w:w="196"/>
        <w:gridCol w:w="808"/>
        <w:gridCol w:w="109"/>
        <w:gridCol w:w="109"/>
        <w:gridCol w:w="109"/>
        <w:gridCol w:w="109"/>
        <w:gridCol w:w="196"/>
        <w:gridCol w:w="808"/>
        <w:gridCol w:w="109"/>
        <w:gridCol w:w="109"/>
        <w:gridCol w:w="158"/>
      </w:tblGrid>
      <w:tr>
        <w:trPr/>
        <w:tc>
          <w:tcPr>
            <w:tcW w:w="163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50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(1)</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Non-recurring legal contingencies, settlements, and related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Includes impairment charges in connection with the Restructuring of $1.3 million. </w:t>
            </w:r>
          </w:p>
        </w:tc>
        <w:tc>
          <w:tcPr>
            <w:tcW w:w="267" w:type="dxa"/>
            <w:gridSpan w:val="2"/>
            <w:tcBorders/>
          </w:tcPr>
          <w:p>
            <w:pPr>
              <w:pStyle w:val="TableContents"/>
              <w:bidi w:val="0"/>
              <w:spacing w:before="0" w:after="283"/>
              <w:jc w:val="left"/>
              <w:rPr>
                <w:sz w:val="4"/>
                <w:szCs w:val="4"/>
              </w:rPr>
            </w:pPr>
            <w:r>
              <w:rPr>
                <w:sz w:val="4"/>
                <w:szCs w:val="4"/>
              </w:rPr>
            </w:r>
          </w:p>
        </w:tc>
      </w:tr>
      <w:tr>
        <w:trPr/>
        <w:tc>
          <w:tcPr>
            <w:tcW w:w="4505" w:type="dxa"/>
            <w:gridSpan w:val="3"/>
            <w:tcBorders/>
            <w:vAlign w:val="center"/>
          </w:tcPr>
          <w:p>
            <w:pPr>
              <w:pStyle w:val="TableContents"/>
              <w:bidi w:val="0"/>
              <w:spacing w:before="0" w:after="283"/>
              <w:jc w:val="left"/>
              <w:rPr>
                <w:sz w:val="4"/>
                <w:szCs w:val="4"/>
              </w:rPr>
            </w:pPr>
            <w:r>
              <w:rPr>
                <w:sz w:val="4"/>
                <w:szCs w:val="4"/>
              </w:rPr>
            </w:r>
          </w:p>
        </w:tc>
        <w:tc>
          <w:tcPr>
            <w:tcW w:w="5700" w:type="dxa"/>
            <w:gridSpan w:val="2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key factors affecting our results of operations and financial performance are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Market Cycles and Crypto Asset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revenue represents the majority of our revenue today, and depends on the volume of crypto asset transactions on our platform as well as the value of such transactions. Periods of rising crypto asset prices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stimulate heightened transaction activity and user onboarding on our platform, while decreasing crypto asset prices may reduce such activities in any given period. As a result, the supply and demand for crypto assets and cyclicality in the crypto market may favorably or unfavorably impact our MTUs and revenue.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earn custodial fee revenue based on a percentage of the daily value of assets under our custody, and staking revenue denominated in crypto assets, each of which are subject to fluctuation based on price volatility of crypto assets and market conditions.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Adoption of Crypto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and operating results are dependent on our continued ability to add users, expand the breadth of crypto assets on our platform, and launch innovative products, each of which are dependent on the continued adoption of crypto assets by market participants. Historically, the increase in total market capitalization of crypto assets has been positively correlated with crypto asset adoption. While we believe the total market capitalization of crypto assets will increase over time, creating opportunities for us to increase our user base, product offerings and transactional activity on our platform, historical trends are not indicative of future adoption, and it is possible that the adoption of crypto assets and blockchain technology may slow or never occur on a broad scale, which would negatively impact our business and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User Acquisition and Retention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is dependent on our ability to continue to attract and retain users. We seek to retain and grow our user base through offering competitive transaction fees, seamless user experience, robust security, diverse asset and product offerings, and marketing campaigns. We also focus on increasing users and engagement across our platform by cross-selling additional products and services we provide, such as prediction markets, staking or the Gemini Credit Card. We expect to continue investing in sales and marketing initiatives to support user acquisition and engagement, however the level and mix of such investments may vary over time based on market conditions, strategic priorities, and the effectiveness of our marketing strategies. As a result, our sales and marketing expenses may increase in absolute dollars in certain periods. In any period, our revenues may fluctuate based on the level of marketing investments and our ability to attract and retain users.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Launching Innovative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continue emphasizing product innovation as a key driver of user engagement. We are executing on a comprehensive product roadmap that anticipates evolving user needs while capitalizing on emerging opportunities in the cryptoeconomy. Central to this initiative is the development of enhanced user engagement tools, particularly our secure wallet solution, which serves as a gateway for users to safely access and participate in the growing onchain ecosystem. We believe that continued investment in product innovation will be central to expanding our user base and future revenue. Implementing new products may increase our costs over the short and medium term as these products reach scale and are adopted by new and existing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Competitive Landscape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depend on our ability to manage competitive pressures in a rapidly evolving crypto industry. We expect competition across our products and services to further intensify in the future as existing and new competitors introduce new products and services or enhance their value propositions for customers. As the industry matures, fee pressures may emerge over time. We intend to continue innovating to drive new products and services while delivering a premier user experience and maintaining our position as a trusted brand in the crypto space to offset the effects of these competitive pressures. If we are unable to capture value through our strategies,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these competitive pressures emerge more rapidly than we anticipate, our operating results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Regulatory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oversight by numerous regulatory agencies in the United States and other jurisdictions, and our operating results and continued growth depend in part on our ability to continue to operate in compliance with applicable laws and regulation, as the regulatory environment develops over time. We maintain dedicated finance, legal, compliance, and security functions and continue to allocate resources in order to remain at the forefront of crypto policy initiatives and regulatory trends. We may experience fluctuations in our operating results as a result of regulatory changes or actions that could limit our ability to support new blockchains and crypto assets, onboard users, and offer our products and services across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Expanding Assets and Markets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expand the breadth of crypto assets and markets available on our platform. We are actively enhancing our token offerings for both trading and custody services and supporting emerging blockchain protocol features, such as expanding staking capabilities to provide additional yield opportunities for our users. The December 2025 launch of Gemini Predictions™ marked our expansion beyond crypto into event contracts, and in July 2026, we began to offer U.S. equities to certain U.S. customers in U.S. states where we are licensed to do so. We continue to evaluate opportunities to offer additional markets, including tokenized securities, and other derivatives, subject to regulatory approval and market demand. We expect to continue to incur costs in expanding supported assets and markets with the objective of diversifying our revenue streams, capturing increased trading volume and transaction revenue, and deepening user engagement.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Acquisitions, Investments, and Partnerships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successfully identify acquisition, investment, and partnership opportunities. We have in the past made acquisitions to bring new capabilities to our platform and will continue to explore new acquisition and partnership opportunities that we believe are complementary to our platform. Through our strategic venture arm, Gemini Frontier Fund, we expect to continue to evaluate investment opportunities in early-stage crypto projects and startups. We will also continue to explore and enter into strategic partnerships with various companies to scale our business, including, but not limited to, partnerships to increase traffic to our platform, our various products, and banking and payment processor partnerships, such as our existing partnership with Mastercard. Over the long term, we expect these partnerships can help drive an increase in our MTUs and diversify our revenue streams. Any such acquisition, investment or partnership opportunities may add additional costs during the evaluation or transitional phase before any benefits are fully captured or may otherwise affect our operating results in a given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Condensed Consolidated Statements of Operations data in dollars and as a percentage of total revenue:</w:t>
      </w:r>
    </w:p>
    <w:p>
      <w:pPr>
        <w:pStyle w:val="TextBody"/>
        <w:bidi w:val="0"/>
        <w:spacing w:before="0" w:after="0"/>
        <w:jc w:val="both"/>
        <w:rPr/>
      </w:pPr>
      <w:r>
        <w:rPr/>
      </w:r>
    </w:p>
    <w:tbl>
      <w:tblPr>
        <w:tblW w:w="11177" w:type="dxa"/>
        <w:jc w:val="left"/>
        <w:tblInd w:w="0" w:type="dxa"/>
        <w:tblLayout w:type="fixed"/>
        <w:tblCellMar>
          <w:top w:w="28" w:type="dxa"/>
          <w:left w:w="28" w:type="dxa"/>
          <w:bottom w:w="28" w:type="dxa"/>
          <w:right w:w="28" w:type="dxa"/>
        </w:tblCellMar>
      </w:tblPr>
      <w:tblGrid>
        <w:gridCol w:w="608"/>
        <w:gridCol w:w="302"/>
        <w:gridCol w:w="231"/>
        <w:gridCol w:w="196"/>
        <w:gridCol w:w="751"/>
        <w:gridCol w:w="109"/>
        <w:gridCol w:w="109"/>
        <w:gridCol w:w="109"/>
        <w:gridCol w:w="109"/>
        <w:gridCol w:w="265"/>
        <w:gridCol w:w="171"/>
        <w:gridCol w:w="379"/>
        <w:gridCol w:w="109"/>
        <w:gridCol w:w="109"/>
        <w:gridCol w:w="109"/>
        <w:gridCol w:w="196"/>
        <w:gridCol w:w="751"/>
        <w:gridCol w:w="109"/>
        <w:gridCol w:w="109"/>
        <w:gridCol w:w="109"/>
        <w:gridCol w:w="109"/>
        <w:gridCol w:w="265"/>
        <w:gridCol w:w="171"/>
        <w:gridCol w:w="379"/>
        <w:gridCol w:w="109"/>
        <w:gridCol w:w="109"/>
        <w:gridCol w:w="109"/>
        <w:gridCol w:w="196"/>
        <w:gridCol w:w="751"/>
        <w:gridCol w:w="109"/>
        <w:gridCol w:w="109"/>
        <w:gridCol w:w="109"/>
        <w:gridCol w:w="109"/>
        <w:gridCol w:w="265"/>
        <w:gridCol w:w="171"/>
        <w:gridCol w:w="379"/>
        <w:gridCol w:w="109"/>
        <w:gridCol w:w="109"/>
        <w:gridCol w:w="109"/>
        <w:gridCol w:w="196"/>
        <w:gridCol w:w="751"/>
        <w:gridCol w:w="109"/>
        <w:gridCol w:w="109"/>
        <w:gridCol w:w="109"/>
        <w:gridCol w:w="109"/>
        <w:gridCol w:w="265"/>
        <w:gridCol w:w="171"/>
        <w:gridCol w:w="37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Net revenue</w:t>
            </w:r>
            <w:r>
              <w:rPr>
                <w:rFonts w:ascii="Times New Roman;serif" w:hAnsi="Times New Roman;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Technology</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General and administrative</w:t>
            </w:r>
            <w:r>
              <w:rPr>
                <w:rFonts w:ascii="Times New Roman;serif" w:hAnsi="Times New Roman;serif"/>
                <w:b w:val="false"/>
                <w:color w:val="000000"/>
                <w:sz w:val="13"/>
              </w:rPr>
              <w:t>(3)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operating expenses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(expense): </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crypto assets and receivable, crypto assets pledged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related party crypto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convertible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related party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third party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funding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14" w:type="dxa"/>
            <w:gridSpan w:val="48"/>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Net revenue includes related party amounts of $0.4 million and $0.7 million for the three and six months ended June 30, 2026, respectively, and $0.6 million and $1.2 million for the three and six months ended June 30, 2025, respectively, as outlined in Note 21. Related Party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14" w:type="dxa"/>
            <w:gridSpan w:val="48"/>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Technology expenses include related party amounts of $0 for the three and six months ended June 30, 2026, and $0.1 million and $0.2 million for the three and six months ended June 30, 2025, respectively, as outlined in Note 21. Related Party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14" w:type="dxa"/>
            <w:gridSpan w:val="48"/>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General and administrative expenses include related party amounts of $0 and $0.4 million for the three and six months ended June 30, 2026, respectively, and $0.1 million for the three and six months ended June 30, 2025, as outlined in Note 21. Related Party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Comparison of Components of Results of Operations for the Three and Six Months Ended June 30, 2026 and 2025</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Transaction Revenue</w:t>
      </w:r>
    </w:p>
    <w:tbl>
      <w:tblPr>
        <w:tblW w:w="10543" w:type="dxa"/>
        <w:jc w:val="left"/>
        <w:tblInd w:w="0" w:type="dxa"/>
        <w:tblLayout w:type="fixed"/>
        <w:tblCellMar>
          <w:top w:w="28" w:type="dxa"/>
          <w:left w:w="28" w:type="dxa"/>
          <w:bottom w:w="28" w:type="dxa"/>
          <w:right w:w="28" w:type="dxa"/>
        </w:tblCellMar>
      </w:tblPr>
      <w:tblGrid>
        <w:gridCol w:w="366"/>
        <w:gridCol w:w="282"/>
        <w:gridCol w:w="283"/>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55"/>
        <w:gridCol w:w="256"/>
        <w:gridCol w:w="241"/>
        <w:gridCol w:w="109"/>
        <w:gridCol w:w="154"/>
      </w:tblGrid>
      <w:tr>
        <w:trPr/>
        <w:tc>
          <w:tcPr>
            <w:tcW w:w="3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Exchange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Prediction markets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 transaction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transaction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Exchange revenue decreased by $7.7 million, or 38%, and $14.1 million, or 32%, for the three and six months ended June 30, 2026, respectively, primarily due to decreases in retail revenue of $7.9 million (42%) and $15.6 million (38%), partially offset by increases in institutional revenue of $0.2 million and $1.5 million, for the three and six months ended June 30, 2026,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revenue declined primarily as a result of lower retail trading volumes reflecting softer crypto market conditions. Retail revenue decreased 53.3% and 39.4% for the three and six months ended June 30, 2026, respectively, reducing revenue by approximately $10.1 million and $16.3 million. Retail revenue was also negatively impacted by lower withdrawal fee revenue of approximately $0.3 million and $0.6 million, respectively. These decreases were partially offset by fee optimization initiatives and improved take rates, which increased revenue by approximately $2.4 million and $1.3 million for the three and six month periods,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Institutional revenue increased primarily due to improved take rates and lower market maker incentive credits, which more than offset the impact of lower institutional trading volumes.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OTC revenue increased by $4.1 million, or 671%, and $10.3 million, or 1391% for the three and six months ended June 30, 2026, respectively, primarily driven by higher institutional client activity, including several large-value, client-driven transactions executed during the period. The increase was further supported by continued expansion in the Company's electronic OTC (eOTC) platform, including expansion of its API client base and increased engagement from existing institutional counterparties. Because OTC trading activity is largely driven by client demand and transaction size, these revenue levels may not be indicative of future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Prediction markets revenue increased due to the launch of Gemini Predictions in December 2025, which introduced a new source of revenue with no comparable revenue in the prior-year periods. Prediction markets contributed approximately $0.5 million and $1.0 million of revenue for the three and six months ended June 30, 2026,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transaction revenue remained immaterial for the periods presented. The category primarily reflects residual activity from our legacy NFT business following the January 2026 decision to discontinue NFT operations amid continued market weakness. Period-over-period fluctuations reflect the ongoing wind-down of these activities and are not considered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tbl>
      <w:tblPr>
        <w:tblW w:w="10378" w:type="dxa"/>
        <w:jc w:val="left"/>
        <w:tblInd w:w="0" w:type="dxa"/>
        <w:tblLayout w:type="fixed"/>
        <w:tblCellMar>
          <w:top w:w="28" w:type="dxa"/>
          <w:left w:w="28" w:type="dxa"/>
          <w:bottom w:w="28" w:type="dxa"/>
          <w:right w:w="28" w:type="dxa"/>
        </w:tblCellMar>
      </w:tblPr>
      <w:tblGrid>
        <w:gridCol w:w="321"/>
        <w:gridCol w:w="282"/>
        <w:gridCol w:w="283"/>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0"/>
        <w:gridCol w:w="211"/>
        <w:gridCol w:w="241"/>
        <w:gridCol w:w="109"/>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Credit card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Staking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Custodial fee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 services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services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Credit card revenue increased by $11.3 million, or 231%, and $22.2 million, or 258%, for the three and six months ended June 30, 2026, respectively, primarily driven by the expansion of the Gemini Credit Card program, including user base growth and increased cardholder activity, which contributed to higher transaction volumes and revenue. The year-over-year increase also reflects the lower revenue base during the comparable 2025 periods as the program continued to scale.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Staking revenue increased by $1.3 million, or 50%, and $0.4 million, or 6%, for the three and six months ended June 30, 2026, respectively. The increase for the three-month period was driven by one-time revenue recognized following the implementation of a new staking platform including building out our in-house validator capabilities, as well as the launch of Monad (“MON”) staking in the fourth quarter of 2025. The increase for the six-month period primarily reflects the launch of MON, partially offset by lower staked asset balances and declines in crypto asset prices across supported staking tokens.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Advisory fee revenue for the three and six months ended June 30, 2026, increased due to an advisory services agreement with a strategic customer introduced in the third quarter of 2025. Under this arrangement, we provide advisory services and receive warrants as consideration. Revenue is recognized over time as services are being provided based on the fair value of the warrants at grant date. This arrangement contributed approximately $2.7 million and $5.4 million of revenue for the three and six months ended June 30, 2026,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Custodial fee revenue decreased $1.3 million, or 67%, and $1.3 million, or 34%, for the three and six months ended June 30, 2026, respectively, due to declining crypto asset prices during the period and net customer asset outflows, which reduced the value of assets under custody, and consequently, custodial fee revenue.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services revenue for the six months ended June 30, 2026 increased $0.4 million due to the introduction of new onchain offerings, including integrations and token listing services in the fourth quarter of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7"/>
        <w:gridCol w:w="586"/>
        <w:gridCol w:w="588"/>
        <w:gridCol w:w="240"/>
        <w:gridCol w:w="406"/>
        <w:gridCol w:w="133"/>
        <w:gridCol w:w="133"/>
        <w:gridCol w:w="133"/>
        <w:gridCol w:w="133"/>
        <w:gridCol w:w="240"/>
        <w:gridCol w:w="517"/>
        <w:gridCol w:w="133"/>
        <w:gridCol w:w="109"/>
        <w:gridCol w:w="109"/>
        <w:gridCol w:w="109"/>
        <w:gridCol w:w="196"/>
        <w:gridCol w:w="386"/>
        <w:gridCol w:w="109"/>
        <w:gridCol w:w="109"/>
        <w:gridCol w:w="109"/>
        <w:gridCol w:w="109"/>
        <w:gridCol w:w="193"/>
        <w:gridCol w:w="193"/>
        <w:gridCol w:w="241"/>
        <w:gridCol w:w="109"/>
        <w:gridCol w:w="109"/>
        <w:gridCol w:w="109"/>
        <w:gridCol w:w="217"/>
        <w:gridCol w:w="467"/>
        <w:gridCol w:w="120"/>
        <w:gridCol w:w="120"/>
        <w:gridCol w:w="120"/>
        <w:gridCol w:w="120"/>
        <w:gridCol w:w="217"/>
        <w:gridCol w:w="467"/>
        <w:gridCol w:w="120"/>
        <w:gridCol w:w="109"/>
        <w:gridCol w:w="109"/>
        <w:gridCol w:w="109"/>
        <w:gridCol w:w="196"/>
        <w:gridCol w:w="386"/>
        <w:gridCol w:w="109"/>
        <w:gridCol w:w="109"/>
        <w:gridCol w:w="109"/>
        <w:gridCol w:w="109"/>
        <w:gridCol w:w="193"/>
        <w:gridCol w:w="193"/>
        <w:gridCol w:w="29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4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41" w:type="dxa"/>
            <w:gridSpan w:val="3"/>
            <w:tcBorders>
              <w:bottom w:val="single" w:sz="8" w:space="0" w:color="FFFFFF"/>
            </w:tcBorders>
            <w:shd w:fill="CCEEFF" w:val="clear"/>
            <w:tcMar>
              <w:top w:w="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revenue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material change in Other revenue for the three and six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Revenue Not from Contracts with Customers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86"/>
        <w:gridCol w:w="339"/>
        <w:gridCol w:w="340"/>
        <w:gridCol w:w="203"/>
        <w:gridCol w:w="578"/>
        <w:gridCol w:w="113"/>
        <w:gridCol w:w="113"/>
        <w:gridCol w:w="113"/>
        <w:gridCol w:w="113"/>
        <w:gridCol w:w="203"/>
        <w:gridCol w:w="578"/>
        <w:gridCol w:w="113"/>
        <w:gridCol w:w="112"/>
        <w:gridCol w:w="112"/>
        <w:gridCol w:w="112"/>
        <w:gridCol w:w="202"/>
        <w:gridCol w:w="575"/>
        <w:gridCol w:w="112"/>
        <w:gridCol w:w="112"/>
        <w:gridCol w:w="112"/>
        <w:gridCol w:w="112"/>
        <w:gridCol w:w="217"/>
        <w:gridCol w:w="218"/>
        <w:gridCol w:w="249"/>
        <w:gridCol w:w="112"/>
        <w:gridCol w:w="112"/>
        <w:gridCol w:w="112"/>
        <w:gridCol w:w="202"/>
        <w:gridCol w:w="575"/>
        <w:gridCol w:w="112"/>
        <w:gridCol w:w="112"/>
        <w:gridCol w:w="112"/>
        <w:gridCol w:w="112"/>
        <w:gridCol w:w="202"/>
        <w:gridCol w:w="575"/>
        <w:gridCol w:w="112"/>
        <w:gridCol w:w="112"/>
        <w:gridCol w:w="112"/>
        <w:gridCol w:w="112"/>
        <w:gridCol w:w="202"/>
        <w:gridCol w:w="575"/>
        <w:gridCol w:w="112"/>
        <w:gridCol w:w="112"/>
        <w:gridCol w:w="112"/>
        <w:gridCol w:w="112"/>
        <w:gridCol w:w="216"/>
        <w:gridCol w:w="219"/>
        <w:gridCol w:w="322"/>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6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6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Revenue not from contracts with customers</w:t>
            </w:r>
            <w:r>
              <w:rPr>
                <w:color w:val="000000"/>
              </w:rPr>
              <w:t xml:space="preserve"> </w:t>
            </w:r>
            <w:r>
              <w:rPr>
                <w:rFonts w:ascii="Times New Roman;serif" w:hAnsi="Times New Roman;serif"/>
                <w:b w:val="false"/>
                <w:color w:val="000000"/>
                <w:sz w:val="10"/>
              </w:rPr>
              <w:t>(1)</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interest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not from contracts with customers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Amounts represent revenue that is not accounted for as revenue from contracts with customers, as defined in ASC 606. Interest income is included within Net revenue and Corporate interest is included within Other revenue, respectively, on the condensed consolidated statements of operations and comprehensive loss included in our condensed consolidated financial statements included in Part I, Item 1 of this Quarterly Report on Form 10-Q.</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material change in Interest income for the three and six months ended June 30,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interest increased by $1.3 million, or 344%, and $2.8 million, or 557%, for the three and six months ended June 30, 2026, respectively, primarily driven by higher interest earned on operating accounts as a result of higher average cash balances throughout the year. </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Salaries and compensation</w:t>
      </w:r>
    </w:p>
    <w:tbl>
      <w:tblPr>
        <w:tblW w:w="11045" w:type="dxa"/>
        <w:jc w:val="left"/>
        <w:tblInd w:w="0" w:type="dxa"/>
        <w:tblLayout w:type="fixed"/>
        <w:tblCellMar>
          <w:top w:w="28" w:type="dxa"/>
          <w:left w:w="28" w:type="dxa"/>
          <w:bottom w:w="28" w:type="dxa"/>
          <w:right w:w="28" w:type="dxa"/>
        </w:tblCellMar>
      </w:tblPr>
      <w:tblGrid>
        <w:gridCol w:w="756"/>
        <w:gridCol w:w="282"/>
        <w:gridCol w:w="28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7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32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compensation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benefits and personnel-related costs, excluding stock-based compensation and restructuring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restructuring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salaries and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Salaries and compensation expenses increased by $11.4 million, or 31%, and $42.6 million, or 60%, for the three and six months ended June 30, 2026, respectively, primarily driven by a $18.6 million and $41.3 million increase in stock-based compensation related to equity awards issued in connection with the IPO. Stock-based compensation for the six months ended June 30, 2026 was partially reduced by approximately $7.1 million of forfeitures associated with the February 2026 reduction in force, net of accelerated expense recognized for certain executives.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Severance costs increased by $6.5 million for the six months ended June 30, 2026, primarily in connection with the February 2026 reduction in force affecting approximately 200 employees, including certain officers and directors.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Employee compensation, excluding stock-based compensation and severance, decreased by $7.2 million, or 20%, and $5.2 million, or 8% for the three and six months ended June 30, 2026, respectively. The decrease is primarily due to a $10.0 million and $9.4 million decrease in employee compensation and payroll taxes reflecting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impact of the reduction in force announced in February 2026. This was partially offset by $2.8 million and $4.2 million of higher bonuses associated with increased institutional sales activity.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Technology expenses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6"/>
        <w:gridCol w:w="326"/>
        <w:gridCol w:w="32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24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73"/>
        <w:gridCol w:w="175"/>
        <w:gridCol w:w="291"/>
      </w:tblGrid>
      <w:tr>
        <w:trPr/>
        <w:tc>
          <w:tcPr>
            <w:tcW w:w="5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17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7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Cloud computing and infrastructure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and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technology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Technology expenses increased by $1.0 million, or 5%, and $6.4 million, or 18%, for the three and six months ended June 30, 2026, respectively, primarily due to higher cloud computing and infrastructure costs of $1.3 million and $7.5 million, respectively, supporting the Company's expanding product offerings, including the growth of the credit card platform and other strategic initiatives. These increases were partially offset by a $0.4 million and $1.2 million decrease in equipment-related costs and amortization expense and impairment for the three and six months ended June 30, 2026, respectively, reflecting the full amortization of certain capitalized technology assets in prior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both"/>
        <w:rPr/>
      </w:pPr>
      <w:r>
        <w:rPr/>
      </w:r>
    </w:p>
    <w:tbl>
      <w:tblPr>
        <w:tblW w:w="10295" w:type="dxa"/>
        <w:jc w:val="left"/>
        <w:tblInd w:w="0" w:type="dxa"/>
        <w:tblLayout w:type="fixed"/>
        <w:tblCellMar>
          <w:top w:w="28" w:type="dxa"/>
          <w:left w:w="28" w:type="dxa"/>
          <w:bottom w:w="28" w:type="dxa"/>
          <w:right w:w="28" w:type="dxa"/>
        </w:tblCellMar>
      </w:tblPr>
      <w:tblGrid>
        <w:gridCol w:w="531"/>
        <w:gridCol w:w="282"/>
        <w:gridCol w:w="283"/>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10"/>
        <w:gridCol w:w="211"/>
        <w:gridCol w:w="286"/>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Legal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Credit card issuance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impairment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 corporate overhead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general and administrative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$1.3 million, or 7%, and $9.0 million, or 27%, for the three and six months ended June 30, 2026, respectively, primarily due to higher legal expenses of $4.2 million and $9.3 million associated with a higher level of legal and regulatory activity, including support for strategic initiatives and other corporate matters. These increases were partially offset by lower professional services expense of $3.3 million and $0.7 million, respectively, reflecting lower audit, accounting, and consulting expenses following the completion of the IPO and related readiness activities.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changes included higher real estate related expenses of $0.7 million and $1.5 million, respectively, from new lease arrangements, and a $0.7 million increase in credit card issuance costs for the six months ended June 30, 2026 from the production and distribution of physical cards.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also benefited from lower discretionary corporate spending, including reduced travel and entertainment expenses reflecting lower headcount, ongoing cost optimization initiatives, and elevated IPO roadshow-related travel incurred in the prior-year period.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losses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96"/>
        <w:gridCol w:w="309"/>
        <w:gridCol w:w="310"/>
        <w:gridCol w:w="196"/>
        <w:gridCol w:w="647"/>
        <w:gridCol w:w="109"/>
        <w:gridCol w:w="109"/>
        <w:gridCol w:w="109"/>
        <w:gridCol w:w="109"/>
        <w:gridCol w:w="196"/>
        <w:gridCol w:w="557"/>
        <w:gridCol w:w="109"/>
        <w:gridCol w:w="109"/>
        <w:gridCol w:w="109"/>
        <w:gridCol w:w="109"/>
        <w:gridCol w:w="196"/>
        <w:gridCol w:w="646"/>
        <w:gridCol w:w="109"/>
        <w:gridCol w:w="109"/>
        <w:gridCol w:w="109"/>
        <w:gridCol w:w="109"/>
        <w:gridCol w:w="210"/>
        <w:gridCol w:w="211"/>
        <w:gridCol w:w="241"/>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10"/>
        <w:gridCol w:w="211"/>
        <w:gridCol w:w="290"/>
      </w:tblGrid>
      <w:tr>
        <w:trPr/>
        <w:tc>
          <w:tcPr>
            <w:tcW w:w="3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01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losses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Provision for expected credit losses (credit cards)</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Credit card fraud reserve</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ACH and other transaction losses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transaction losses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Amounts represent provision for expected credit losses on credit card receivables and credit card receivables pledged. </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losses increased by $16.6 million, or 467%, and $23.6 million, or 307%, for the three and six months ended June 30, 2026, respectively, primarily driven by higher provision for expected credit losses on credit card receivables, which increased by $14.4 million and $16.4 million, respectively. Compared to the prior-year periods, the higher provision reflects the significant growth and continued maturation of the credit card portfolio as well as higher expected credit losses, including those associated with a fraud-related cohort identified during the first quarter of 2026. During the three months ended June 30, 2026, the affected accounts continued to mature through the delinquency cycle and management's investigation identified additional fraud patterns and affected accounts associated with the same earlier-identified fraud cohort, resulting in updated estimates of expected credit losses reflected in the June 30, 2026 allowance. For the six months ended June 30, 2026, transaction losses also included a $4.1 million discrete fraud reserve recognized during the first quarter of 2026 in response to the initial fraud event.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contributing to the increase was a $2.2 million and $3.1 million rise in other transaction losses, primarily reflecting discrete operational loss events, including staking-related reconciliation losses and write-offs of aged staking receivables.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3"/>
        <w:gridCol w:w="313"/>
        <w:gridCol w:w="314"/>
        <w:gridCol w:w="196"/>
        <w:gridCol w:w="557"/>
        <w:gridCol w:w="109"/>
        <w:gridCol w:w="109"/>
        <w:gridCol w:w="109"/>
        <w:gridCol w:w="109"/>
        <w:gridCol w:w="196"/>
        <w:gridCol w:w="647"/>
        <w:gridCol w:w="109"/>
        <w:gridCol w:w="109"/>
        <w:gridCol w:w="109"/>
        <w:gridCol w:w="109"/>
        <w:gridCol w:w="196"/>
        <w:gridCol w:w="573"/>
        <w:gridCol w:w="10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196"/>
        <w:gridCol w:w="573"/>
        <w:gridCol w:w="109"/>
        <w:gridCol w:w="109"/>
        <w:gridCol w:w="109"/>
        <w:gridCol w:w="109"/>
        <w:gridCol w:w="210"/>
        <w:gridCol w:w="211"/>
        <w:gridCol w:w="291"/>
      </w:tblGrid>
      <w:tr>
        <w:trPr/>
        <w:tc>
          <w:tcPr>
            <w:tcW w:w="4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07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 acquisition and brand spend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Credit card rewards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 promotional and referral incentives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 sales and marketing</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 and marketing</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by $7.3 million, or 45%, and increased by $2.7 million, or 11%, for the three and six months ended June 30, 2026, respectively. Marketing acquisition, brand, promotional, and referral spending decreased by $12.6 million and $8.8 million as part of the Company's ongoing cost optimization initiatives. These decreases were partially offset by increases in credit card rewards of $5.3 million and $11.5 million, respectively, reflecting growth in the credit card user base and higher cardholder spending activity.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 while sales and marketing expense declined during the three-month period, the year-to-date increase reflects higher credit card rewards expense more than offsetting reductions in discretionary marketing spend.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processing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5"/>
        <w:gridCol w:w="426"/>
        <w:gridCol w:w="427"/>
        <w:gridCol w:w="202"/>
        <w:gridCol w:w="574"/>
        <w:gridCol w:w="112"/>
        <w:gridCol w:w="112"/>
        <w:gridCol w:w="112"/>
        <w:gridCol w:w="112"/>
        <w:gridCol w:w="202"/>
        <w:gridCol w:w="574"/>
        <w:gridCol w:w="112"/>
        <w:gridCol w:w="109"/>
        <w:gridCol w:w="109"/>
        <w:gridCol w:w="109"/>
        <w:gridCol w:w="196"/>
        <w:gridCol w:w="421"/>
        <w:gridCol w:w="109"/>
        <w:gridCol w:w="109"/>
        <w:gridCol w:w="109"/>
        <w:gridCol w:w="109"/>
        <w:gridCol w:w="209"/>
        <w:gridCol w:w="212"/>
        <w:gridCol w:w="241"/>
        <w:gridCol w:w="109"/>
        <w:gridCol w:w="109"/>
        <w:gridCol w:w="109"/>
        <w:gridCol w:w="196"/>
        <w:gridCol w:w="646"/>
        <w:gridCol w:w="109"/>
        <w:gridCol w:w="109"/>
        <w:gridCol w:w="109"/>
        <w:gridCol w:w="109"/>
        <w:gridCol w:w="196"/>
        <w:gridCol w:w="646"/>
        <w:gridCol w:w="109"/>
        <w:gridCol w:w="109"/>
        <w:gridCol w:w="109"/>
        <w:gridCol w:w="109"/>
        <w:gridCol w:w="196"/>
        <w:gridCol w:w="455"/>
        <w:gridCol w:w="109"/>
        <w:gridCol w:w="109"/>
        <w:gridCol w:w="109"/>
        <w:gridCol w:w="109"/>
        <w:gridCol w:w="210"/>
        <w:gridCol w:w="211"/>
        <w:gridCol w:w="292"/>
      </w:tblGrid>
      <w:tr>
        <w:trPr/>
        <w:tc>
          <w:tcPr>
            <w:tcW w:w="51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36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Staking rewards</w:t>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Banking and compliance fees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Processing fees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Minting and mining</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transaction processing</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processing expenses increased by $0.7 million, or 14%, and $0.6 million, or 6%, for the three and six months ended June 30, 2026, respectively. The increase was primarily driven by higher processing fees of $0.8 million and $1.8 million, respectively, associated with newly introduced and expanded products, including clearing fees and market maker fees related to Gemini Predictions. These increases were partially offset by decreases in banking and compliance service fees of $0.7 million and $0.5 million, respectively, as well as lower minting and mining-related fees, reflecting lower average blockchain network gas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processing expenses also reflect changes in staking rewards, which increased by $0.6 million for the three months ended June 30, 2026, and decreased by $0.6 million for the six months ended June 30, 2026, primarily due to changes in staking activity and asset prices.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jc w:val="both"/>
        <w:rPr/>
      </w:pPr>
      <w:r>
        <w:rPr/>
      </w:r>
    </w:p>
    <w:p>
      <w:pPr>
        <w:pStyle w:val="TextBody"/>
        <w:bidi w:val="0"/>
        <w:spacing w:lineRule="auto" w:line="288" w:before="0" w:after="0"/>
        <w:ind w:left="0" w:right="0" w:firstLine="504"/>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 (loss) on crypto assets and receivable, crypto assets pledged</w:t>
      </w:r>
    </w:p>
    <w:p>
      <w:pPr>
        <w:pStyle w:val="TextBody"/>
        <w:bidi w:val="0"/>
        <w:spacing w:before="0" w:after="0"/>
        <w:ind w:left="0" w:right="0" w:firstLine="504"/>
        <w:jc w:val="both"/>
        <w:rPr/>
      </w:pPr>
      <w:r>
        <w:rPr/>
      </w:r>
    </w:p>
    <w:tbl>
      <w:tblPr>
        <w:tblW w:w="10700" w:type="dxa"/>
        <w:jc w:val="left"/>
        <w:tblInd w:w="0" w:type="dxa"/>
        <w:tblLayout w:type="fixed"/>
        <w:tblCellMar>
          <w:top w:w="28" w:type="dxa"/>
          <w:left w:w="28" w:type="dxa"/>
          <w:bottom w:w="28" w:type="dxa"/>
          <w:right w:w="28" w:type="dxa"/>
        </w:tblCellMar>
      </w:tblPr>
      <w:tblGrid>
        <w:gridCol w:w="321"/>
        <w:gridCol w:w="282"/>
        <w:gridCol w:w="283"/>
        <w:gridCol w:w="196"/>
        <w:gridCol w:w="661"/>
        <w:gridCol w:w="109"/>
        <w:gridCol w:w="109"/>
        <w:gridCol w:w="109"/>
        <w:gridCol w:w="109"/>
        <w:gridCol w:w="196"/>
        <w:gridCol w:w="736"/>
        <w:gridCol w:w="109"/>
        <w:gridCol w:w="109"/>
        <w:gridCol w:w="109"/>
        <w:gridCol w:w="109"/>
        <w:gridCol w:w="196"/>
        <w:gridCol w:w="751"/>
        <w:gridCol w:w="109"/>
        <w:gridCol w:w="109"/>
        <w:gridCol w:w="109"/>
        <w:gridCol w:w="109"/>
        <w:gridCol w:w="218"/>
        <w:gridCol w:w="218"/>
        <w:gridCol w:w="241"/>
        <w:gridCol w:w="109"/>
        <w:gridCol w:w="109"/>
        <w:gridCol w:w="109"/>
        <w:gridCol w:w="196"/>
        <w:gridCol w:w="751"/>
        <w:gridCol w:w="109"/>
        <w:gridCol w:w="109"/>
        <w:gridCol w:w="109"/>
        <w:gridCol w:w="109"/>
        <w:gridCol w:w="196"/>
        <w:gridCol w:w="646"/>
        <w:gridCol w:w="109"/>
        <w:gridCol w:w="109"/>
        <w:gridCol w:w="109"/>
        <w:gridCol w:w="109"/>
        <w:gridCol w:w="196"/>
        <w:gridCol w:w="751"/>
        <w:gridCol w:w="109"/>
        <w:gridCol w:w="109"/>
        <w:gridCol w:w="109"/>
        <w:gridCol w:w="109"/>
        <w:gridCol w:w="218"/>
        <w:gridCol w:w="218"/>
        <w:gridCol w:w="28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88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crypto assets and receivable, crypto assets pledged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Realized and unrealized gain (loss) on crypto assets and receivable, crypto assets pledged changed from a net gain in the prior-year periods to a net loss in the current-year periods. The change was primarily driven by realized losses recognized upon the repayment of bitcoin-denominated loan obligations, which required the return of borrowed crypto assets that had appreciated in value. The change also reflects approximately $22.1 million of realized and unrealized losses on bitcoin received as consideration in the May 2026 private placement as bitcoin prices declined following issuance.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 (loss) on related party crypto loans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tbl>
      <w:tblPr>
        <w:tblW w:w="10670" w:type="dxa"/>
        <w:jc w:val="left"/>
        <w:tblInd w:w="0" w:type="dxa"/>
        <w:tblLayout w:type="fixed"/>
        <w:tblCellMar>
          <w:top w:w="28" w:type="dxa"/>
          <w:left w:w="28" w:type="dxa"/>
          <w:bottom w:w="28" w:type="dxa"/>
          <w:right w:w="28" w:type="dxa"/>
        </w:tblCellMar>
      </w:tblPr>
      <w:tblGrid>
        <w:gridCol w:w="321"/>
        <w:gridCol w:w="282"/>
        <w:gridCol w:w="283"/>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218"/>
        <w:gridCol w:w="218"/>
        <w:gridCol w:w="241"/>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218"/>
        <w:gridCol w:w="218"/>
        <w:gridCol w:w="28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88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related party crypto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gain (loss) on related party crypto loans changed from a net loss in the prior-year periods to a net gain in the current-year periods. The increase was primarily driven by realized gains recognized upon the repayment of related-party crypto asset loans during the three months ended June 30, 2026, and higher unrealized gains resulting from declines in the market price of bitcoin during the six months ended June 30, 2026.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on related party convertible notes and related party loans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1"/>
        <w:gridCol w:w="482"/>
        <w:gridCol w:w="484"/>
        <w:gridCol w:w="199"/>
        <w:gridCol w:w="414"/>
        <w:gridCol w:w="111"/>
        <w:gridCol w:w="111"/>
        <w:gridCol w:w="111"/>
        <w:gridCol w:w="111"/>
        <w:gridCol w:w="199"/>
        <w:gridCol w:w="688"/>
        <w:gridCol w:w="111"/>
        <w:gridCol w:w="109"/>
        <w:gridCol w:w="109"/>
        <w:gridCol w:w="109"/>
        <w:gridCol w:w="196"/>
        <w:gridCol w:w="646"/>
        <w:gridCol w:w="109"/>
        <w:gridCol w:w="109"/>
        <w:gridCol w:w="109"/>
        <w:gridCol w:w="109"/>
        <w:gridCol w:w="224"/>
        <w:gridCol w:w="224"/>
        <w:gridCol w:w="241"/>
        <w:gridCol w:w="109"/>
        <w:gridCol w:w="109"/>
        <w:gridCol w:w="109"/>
        <w:gridCol w:w="196"/>
        <w:gridCol w:w="406"/>
        <w:gridCol w:w="109"/>
        <w:gridCol w:w="109"/>
        <w:gridCol w:w="109"/>
        <w:gridCol w:w="109"/>
        <w:gridCol w:w="196"/>
        <w:gridCol w:w="673"/>
        <w:gridCol w:w="109"/>
        <w:gridCol w:w="109"/>
        <w:gridCol w:w="109"/>
        <w:gridCol w:w="109"/>
        <w:gridCol w:w="196"/>
        <w:gridCol w:w="646"/>
        <w:gridCol w:w="109"/>
        <w:gridCol w:w="109"/>
        <w:gridCol w:w="109"/>
        <w:gridCol w:w="109"/>
        <w:gridCol w:w="110"/>
        <w:gridCol w:w="110"/>
        <w:gridCol w:w="161"/>
      </w:tblGrid>
      <w:tr>
        <w:trPr/>
        <w:tc>
          <w:tcPr>
            <w:tcW w:w="56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527"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convertible notes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loans</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Change in fair value on related party convertible notes and related party loans for the three and six months ended June 30, 2025, respectively, represents the periodic remeasurement of these instruments at fair value. Upon IPO, these instruments were converted into equity, resulting in no further impact from fair value remeasurement in the current-year periods.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related party loans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8"/>
        <w:gridCol w:w="429"/>
        <w:gridCol w:w="431"/>
        <w:gridCol w:w="196"/>
        <w:gridCol w:w="585"/>
        <w:gridCol w:w="109"/>
        <w:gridCol w:w="109"/>
        <w:gridCol w:w="109"/>
        <w:gridCol w:w="109"/>
        <w:gridCol w:w="196"/>
        <w:gridCol w:w="675"/>
        <w:gridCol w:w="109"/>
        <w:gridCol w:w="109"/>
        <w:gridCol w:w="109"/>
        <w:gridCol w:w="109"/>
        <w:gridCol w:w="196"/>
        <w:gridCol w:w="646"/>
        <w:gridCol w:w="109"/>
        <w:gridCol w:w="109"/>
        <w:gridCol w:w="109"/>
        <w:gridCol w:w="109"/>
        <w:gridCol w:w="180"/>
        <w:gridCol w:w="180"/>
        <w:gridCol w:w="241"/>
        <w:gridCol w:w="196"/>
        <w:gridCol w:w="585"/>
        <w:gridCol w:w="109"/>
        <w:gridCol w:w="109"/>
        <w:gridCol w:w="109"/>
        <w:gridCol w:w="109"/>
        <w:gridCol w:w="196"/>
        <w:gridCol w:w="675"/>
        <w:gridCol w:w="109"/>
        <w:gridCol w:w="109"/>
        <w:gridCol w:w="109"/>
        <w:gridCol w:w="109"/>
        <w:gridCol w:w="196"/>
        <w:gridCol w:w="646"/>
        <w:gridCol w:w="109"/>
        <w:gridCol w:w="109"/>
        <w:gridCol w:w="109"/>
        <w:gridCol w:w="109"/>
        <w:gridCol w:w="180"/>
        <w:gridCol w:w="180"/>
        <w:gridCol w:w="292"/>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34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related party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related party loans decreased by $13.6 million, or 83%, and $24.2 million, or 80%, for the three and six months ended June 30, 2026, respectively, primarily due to lower average outstanding principal balances following the repayment and reduction of related-party crypto asset borrowings compared with the prior-year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third party loans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1"/>
        <w:gridCol w:w="432"/>
        <w:gridCol w:w="433"/>
        <w:gridCol w:w="197"/>
        <w:gridCol w:w="592"/>
        <w:gridCol w:w="109"/>
        <w:gridCol w:w="109"/>
        <w:gridCol w:w="109"/>
        <w:gridCol w:w="109"/>
        <w:gridCol w:w="197"/>
        <w:gridCol w:w="592"/>
        <w:gridCol w:w="109"/>
        <w:gridCol w:w="109"/>
        <w:gridCol w:w="109"/>
        <w:gridCol w:w="109"/>
        <w:gridCol w:w="196"/>
        <w:gridCol w:w="556"/>
        <w:gridCol w:w="109"/>
        <w:gridCol w:w="109"/>
        <w:gridCol w:w="109"/>
        <w:gridCol w:w="109"/>
        <w:gridCol w:w="181"/>
        <w:gridCol w:w="181"/>
        <w:gridCol w:w="241"/>
        <w:gridCol w:w="109"/>
        <w:gridCol w:w="109"/>
        <w:gridCol w:w="109"/>
        <w:gridCol w:w="196"/>
        <w:gridCol w:w="587"/>
        <w:gridCol w:w="109"/>
        <w:gridCol w:w="109"/>
        <w:gridCol w:w="109"/>
        <w:gridCol w:w="109"/>
        <w:gridCol w:w="196"/>
        <w:gridCol w:w="587"/>
        <w:gridCol w:w="109"/>
        <w:gridCol w:w="109"/>
        <w:gridCol w:w="109"/>
        <w:gridCol w:w="109"/>
        <w:gridCol w:w="196"/>
        <w:gridCol w:w="556"/>
        <w:gridCol w:w="109"/>
        <w:gridCol w:w="109"/>
        <w:gridCol w:w="109"/>
        <w:gridCol w:w="109"/>
        <w:gridCol w:w="181"/>
        <w:gridCol w:w="181"/>
        <w:gridCol w:w="293"/>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35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third party loans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third party loans decreased by $1.5 million, or 45%, and $2.9 million, or 45%, for the three and six months ended June 30, 2026, respectively, primarily due to lower interest rate and outstanding principal balance under the NYDIG MRA (as defined below), which incurred $1.8 million and $3.6 million of interest expense for the three and six months ended June 30, 2026, respectively, as compared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legacy financing agreements with Galaxy, which incurred $3.2 million and $6.5 million of interest expense for the three and six months ended June 30, 2025, respectively, and were repaid in full during the fourth quarter of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funding debt</w:t>
      </w:r>
    </w:p>
    <w:tbl>
      <w:tblPr>
        <w:tblW w:w="10205" w:type="dxa"/>
        <w:jc w:val="left"/>
        <w:tblInd w:w="0" w:type="dxa"/>
        <w:tblLayout w:type="fixed"/>
        <w:tblCellMar>
          <w:top w:w="28" w:type="dxa"/>
          <w:left w:w="28" w:type="dxa"/>
          <w:bottom w:w="28" w:type="dxa"/>
          <w:right w:w="28" w:type="dxa"/>
        </w:tblCellMar>
      </w:tblPr>
      <w:tblGrid>
        <w:gridCol w:w="679"/>
        <w:gridCol w:w="596"/>
        <w:gridCol w:w="599"/>
        <w:gridCol w:w="214"/>
        <w:gridCol w:w="671"/>
        <w:gridCol w:w="119"/>
        <w:gridCol w:w="119"/>
        <w:gridCol w:w="119"/>
        <w:gridCol w:w="119"/>
        <w:gridCol w:w="214"/>
        <w:gridCol w:w="445"/>
        <w:gridCol w:w="119"/>
        <w:gridCol w:w="109"/>
        <w:gridCol w:w="109"/>
        <w:gridCol w:w="109"/>
        <w:gridCol w:w="196"/>
        <w:gridCol w:w="610"/>
        <w:gridCol w:w="109"/>
        <w:gridCol w:w="109"/>
        <w:gridCol w:w="109"/>
        <w:gridCol w:w="109"/>
        <w:gridCol w:w="110"/>
        <w:gridCol w:w="110"/>
        <w:gridCol w:w="111"/>
        <w:gridCol w:w="109"/>
        <w:gridCol w:w="109"/>
        <w:gridCol w:w="109"/>
        <w:gridCol w:w="201"/>
        <w:gridCol w:w="630"/>
        <w:gridCol w:w="112"/>
        <w:gridCol w:w="112"/>
        <w:gridCol w:w="112"/>
        <w:gridCol w:w="112"/>
        <w:gridCol w:w="201"/>
        <w:gridCol w:w="418"/>
        <w:gridCol w:w="112"/>
        <w:gridCol w:w="109"/>
        <w:gridCol w:w="109"/>
        <w:gridCol w:w="109"/>
        <w:gridCol w:w="196"/>
        <w:gridCol w:w="610"/>
        <w:gridCol w:w="109"/>
        <w:gridCol w:w="109"/>
        <w:gridCol w:w="109"/>
        <w:gridCol w:w="109"/>
        <w:gridCol w:w="110"/>
        <w:gridCol w:w="110"/>
        <w:gridCol w:w="166"/>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87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funding debt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funding debt for the three and six months ended June 30, 2026 represents interest on the Ripple Credit Agreement (as defined below), a funding arrangement entered into in July 2025 to finance our credit card receivables. There was no comparable interest expense in the prior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98"/>
        <w:gridCol w:w="338"/>
        <w:gridCol w:w="340"/>
        <w:gridCol w:w="197"/>
        <w:gridCol w:w="560"/>
        <w:gridCol w:w="109"/>
        <w:gridCol w:w="109"/>
        <w:gridCol w:w="109"/>
        <w:gridCol w:w="109"/>
        <w:gridCol w:w="197"/>
        <w:gridCol w:w="582"/>
        <w:gridCol w:w="109"/>
        <w:gridCol w:w="109"/>
        <w:gridCol w:w="109"/>
        <w:gridCol w:w="109"/>
        <w:gridCol w:w="196"/>
        <w:gridCol w:w="556"/>
        <w:gridCol w:w="109"/>
        <w:gridCol w:w="109"/>
        <w:gridCol w:w="109"/>
        <w:gridCol w:w="109"/>
        <w:gridCol w:w="221"/>
        <w:gridCol w:w="221"/>
        <w:gridCol w:w="241"/>
        <w:gridCol w:w="109"/>
        <w:gridCol w:w="109"/>
        <w:gridCol w:w="109"/>
        <w:gridCol w:w="196"/>
        <w:gridCol w:w="556"/>
        <w:gridCol w:w="109"/>
        <w:gridCol w:w="109"/>
        <w:gridCol w:w="109"/>
        <w:gridCol w:w="109"/>
        <w:gridCol w:w="196"/>
        <w:gridCol w:w="577"/>
        <w:gridCol w:w="109"/>
        <w:gridCol w:w="109"/>
        <w:gridCol w:w="109"/>
        <w:gridCol w:w="109"/>
        <w:gridCol w:w="196"/>
        <w:gridCol w:w="556"/>
        <w:gridCol w:w="109"/>
        <w:gridCol w:w="109"/>
        <w:gridCol w:w="109"/>
        <w:gridCol w:w="109"/>
        <w:gridCol w:w="221"/>
        <w:gridCol w:w="221"/>
        <w:gridCol w:w="296"/>
      </w:tblGrid>
      <w:tr>
        <w:trPr/>
        <w:tc>
          <w:tcPr>
            <w:tcW w:w="5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Change</w:t>
            </w:r>
          </w:p>
        </w:tc>
      </w:tr>
      <w:tr>
        <w:trPr/>
        <w:tc>
          <w:tcPr>
            <w:tcW w:w="127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 except for %)</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Market-driven valuation changes</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Market-driven valuation changes, including unrealized foreign currency translation gains and losses, gains and losses on derivatives, and changes in the fair value of strategic investments and warrants, resulted in a $0.6 million and $1.8 million gain in the three and six months ended June 30, 2026, compared to a $5.8 million and $3.1 million loss in the same periods prior year. Other increased primarily due to the extinguishment of certain phantom unit liabilities during the six-month period. The remaining change reflects normal period-to-period variability in other operating-related items.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before="0" w:after="0"/>
        <w:ind w:left="0" w:right="0" w:firstLine="504"/>
        <w:jc w:val="both"/>
        <w:rPr/>
      </w:pPr>
      <w:r>
        <w:rPr/>
      </w:r>
    </w:p>
    <w:tbl>
      <w:tblPr>
        <w:tblW w:w="10205" w:type="dxa"/>
        <w:jc w:val="center"/>
        <w:tblInd w:w="0" w:type="dxa"/>
        <w:tblLayout w:type="fixed"/>
        <w:tblCellMar>
          <w:top w:w="28" w:type="dxa"/>
          <w:left w:w="28" w:type="dxa"/>
          <w:bottom w:w="28" w:type="dxa"/>
          <w:right w:w="28" w:type="dxa"/>
        </w:tblCellMar>
      </w:tblPr>
      <w:tblGrid>
        <w:gridCol w:w="603"/>
        <w:gridCol w:w="531"/>
        <w:gridCol w:w="534"/>
        <w:gridCol w:w="229"/>
        <w:gridCol w:w="451"/>
        <w:gridCol w:w="127"/>
        <w:gridCol w:w="127"/>
        <w:gridCol w:w="127"/>
        <w:gridCol w:w="127"/>
        <w:gridCol w:w="229"/>
        <w:gridCol w:w="451"/>
        <w:gridCol w:w="127"/>
        <w:gridCol w:w="109"/>
        <w:gridCol w:w="109"/>
        <w:gridCol w:w="109"/>
        <w:gridCol w:w="196"/>
        <w:gridCol w:w="331"/>
        <w:gridCol w:w="109"/>
        <w:gridCol w:w="109"/>
        <w:gridCol w:w="109"/>
        <w:gridCol w:w="109"/>
        <w:gridCol w:w="190"/>
        <w:gridCol w:w="190"/>
        <w:gridCol w:w="241"/>
        <w:gridCol w:w="109"/>
        <w:gridCol w:w="109"/>
        <w:gridCol w:w="109"/>
        <w:gridCol w:w="206"/>
        <w:gridCol w:w="402"/>
        <w:gridCol w:w="114"/>
        <w:gridCol w:w="114"/>
        <w:gridCol w:w="114"/>
        <w:gridCol w:w="114"/>
        <w:gridCol w:w="206"/>
        <w:gridCol w:w="585"/>
        <w:gridCol w:w="114"/>
        <w:gridCol w:w="109"/>
        <w:gridCol w:w="109"/>
        <w:gridCol w:w="109"/>
        <w:gridCol w:w="196"/>
        <w:gridCol w:w="606"/>
        <w:gridCol w:w="109"/>
        <w:gridCol w:w="109"/>
        <w:gridCol w:w="109"/>
        <w:gridCol w:w="109"/>
        <w:gridCol w:w="235"/>
        <w:gridCol w:w="235"/>
        <w:gridCol w:w="300"/>
      </w:tblGrid>
      <w:tr>
        <w:trPr/>
        <w:tc>
          <w:tcPr>
            <w:tcW w:w="6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6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68"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Income tax provision was $22 thousand and $43 thousand for the three and six months ended June 30, 2026, compared to an income tax provision of $0.1 million and income tax benefit of $4.9 million for the three and six months ended June 30, 2025. The change was primarily attributed to an adjustment to the valuation allowance on our deferred tax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historically financed our operations primarily with cash flow from operating activities, proceeds from the private sale of equity securities, related party indebtedness from Winklevoss Capital Fund denominated in bitcoin, ether, or U.S. dollars, and loan agreements with unrelated third parties. We utilize crypto assets, specifically bitcoin, as a treasury asset and given our belief that bitcoin is a better store of value and hedge against inflation than fiat, we have generally sought to incur borrowing costs in U.S. dollars rather than sell bitcoin.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(i) cash and cash equivalents of $188.6 million and $252.2 million, respectively, which consisted primarily of cash and highly liquid investments with an original maturity of three months or less when purchased; (ii) restricted cash and cash equivalents of $103.5 million and $115.3 million, respectively, which consisted primarily of cash deposited into money market funds and restricted cash deposits held at financial institutions as part of our capital reserve requirements and as collateral associated with our banking partnerships and surety bonds; and (iii) customer custodial funds of $454.7 million and $527.4 million, respectively, which consisted of restricted cash and cash equivalents maintained in segregated bank accounts that are held for the exclusive benefit of users. We restrict the use of the assets underlying the customer custodial funds to meet regulatory requirements and classify the assets as current based on their purpose and availability to fulfill our direct obligation under custodial funds due to users.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Crypto assets held on our condensed consolidated balance sheets represent corporate assets that are used as part of the ordinary course of business. We use crypto assets primarily to support our core operations, facilitate the efficiency of the exchange, and as a reserve to satisfy regulatory requirements for certain subsidiaries. Uses to support core operations include receiving crypto assets as a form of payment for Transaction revenue and Services revenue. Crypto assets received as a form of payment are converted to cash or used to fulfill operating expenses, including crypto rewards. Certain crypto assets are designated to satisfy regulatory capital or reserve requirements imposed by certain jurisdictions and regulators. These assets are subject to operational and regulatory restrictions that limit their use in day-to-day business operations. Applicable regulatory frameworks require us to maintain a minimum level of assets to meet ongoing licensing and regulatory obligations and prohibit the lending, pledging, rehypothecation and encumbrance of such assets, but do not prohibit the sale thereof. As of June 30, 2026 and December 31, 2025, we held approximately $56.8 million and $237.1 million, respectively, in crypto assets for regulatory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2026, we completed a $100.0 million private placement of Class A common stock with WCF, with consideration paid in bitcoin (the "Private Placement"). Because the proceeds were received in bitcoin rather than cash, their value is subject to changes in the market price of bitcoin. During the period, we liquidated a portion of the bitcoin received to fund operating activities and strategic initiatives. As of June 30, 2026, we held approximately 988 bitcoin received in connection with the Private Placement, with an aggregate fair value of approximately $57.9 million. For additional information regarding the Private Placement, refer to our Current Report on Form 8-K, filed with the SEC on May 14, 2026.</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together with available borrowing capacity under our financing arrangements, the proceeds from the Private Placement, which increased our available liquidity, and the anticipated cost savings and operating efficiencies resulting from our strategic initiatives, including related to the Restructuring, will be sufficient to meet our working capital and capital expenditure needs for at least the next 12 months. We continue to actively manage our capital structure and evaluate additional financing opportunities that may enhance liquidity, support strategic initiatives, and provide additional financial flexibility. Our future capital requirements will depend on many factors, including, but not limited to, continued market acceptance of crypto assets and blockchain technology, our ability to attract and retain users on our platform, the continuing market acceptance of our products and services, and overall economic conditions. See Part II, Item 1A. “Risk Factors” included elsewhere in this Quarterly Report on Form 10-Q. To the extent that current and anticipated future sources of liquidity are insufficient to fund our future business activities and requirements, we may be required to seek additional equity or debt financing. The sale of additional equity would result in dilution to our stockholders. The incurrence of debt financing would result in debt service obligations and the instruments governing such debt could provide for covenants that would restrict our operations. In the event that additional financing is required from outside sources, there is a possibility we may not be able to raise it on terms acceptable to us or at all. If we are unable to raise additional capital when desired, our business, operating results, and financial condition could be adversely affected.</w:t>
      </w:r>
    </w:p>
    <w:p>
      <w:pPr>
        <w:pStyle w:val="TextBody"/>
        <w:bidi w:val="0"/>
        <w:spacing w:before="0" w:after="0"/>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Indebtedness and Other Funding Arrangements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Lending Agreements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historically entered into lending agreements with WCF to borrow ether and bitcoin at loan fees between 4% and 8% per annum. As of June 30, 2026, loans in respect of 0 ether and 4,419 bitcoin remained outstanding under these agreements. The purpose of these lending agreements includes meeting capital reserve requirements of regulators as well as satisfying collateral obligations under agreements with unrelated third parties. These lending agreements with WCF do not contain affirmative or negative covenants and are prepayable at our option, with no fixed maturity date. However, WCF may require repayment at any time upon written notice.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June 30, 2026, the 2,097 bitcoin we had previously borrowed from WCF and was pledged as collateral under the NYDIG MRA (as defined below) was released to us in connection with the repayment and termination of that agreement. We subsequently repaid the bitcoin to WCF. On June 30, 2026, in connection with an open lending transaction under our existing Galaxy MLA (as defined below), we borrowed an additional 2,825 bitcoin from WCF, of which 1,975 bitcoin was pledged as collateral and the remaining 850 bitcoin was held as margin reserve to support potential future collateral requirements. For more information, see </w:t>
      </w:r>
      <w:r>
        <w:rPr>
          <w:rFonts w:ascii="Times New Roman;serif" w:hAnsi="Times New Roman;serif"/>
          <w:b w:val="false"/>
          <w:i/>
          <w:color w:val="000000"/>
          <w:sz w:val="20"/>
        </w:rPr>
        <w:t>Note 14. Related Party Loans and Convertible Notes</w:t>
      </w:r>
      <w:r>
        <w:rPr>
          <w:color w:val="000000"/>
        </w:rPr>
        <w:t xml:space="preserve"> </w:t>
      </w:r>
      <w:r>
        <w:rPr>
          <w:rFonts w:ascii="Times New Roman;serif" w:hAnsi="Times New Roman;serif"/>
          <w:b w:val="false"/>
          <w:color w:val="000000"/>
          <w:sz w:val="20"/>
        </w:rPr>
        <w:t xml:space="preserve">to our unaudited condensed consolidated financial statements included in Part I, Item 1 of this Quarterly Report on Form 10-Q.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Ripple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entered into a credit agreement with Ripple Labs Inc. (“Ripple”), an unrelated third party (the “Ripple Credit Agreement”). The Ripple Credit Agreement permits us to make lending requests, from time to time, of no less than $5.0 million each, up to an aggregate commitment amount of $75.0 million (the “Initial Commitment”), which may be increased or decreased, from time to time, subject to the attainment of certain agreed upon metrics, provided that the aggregate commitment amount does not exceed $150.0 million, prior to amendment. Once the Initial Commitment is exceeded, lending requests may be made in the form of USD-denominated Ripple Stablecoin (“RLUSD”), upon our request and Ripple’s consent. All lending requests under the Ripple Credit Agreement must be secured by collateral, bear an interest rate per annum of 6.5% and must be repaid in U.S. dollars.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we entered into an amendment to the Ripple Credit Agreement that temporarily increased the aggregate commitment to $250.0 million through July 1, 2026, increased the interest rate to 7.0%, and imposed additional collateral and operating covenants, including requirements related to holdings and activity levels of RLUSD. The amendment provided that if the outstanding balance had not been reduced to $150.0 million or less by July 2, 2026, the interest rate would increase to 10.0% and the enhanced collateral and covenant requirements would remain in effect until such reduction occurred. As of June 30, 2026, the outstanding balance under the credit agreement was below $150.0 million. Accordingly, the step-up to a 10.0% interest rate and the continued application of the enhanced collateral and covenant requirements were not triggered.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 U.S. dollar denominated principal amount of approximately $146.9 million outstanding under the Ripple Credit Agreement and approximately $185.7 million of credit card receivables were pledged as collateral.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NYDIG MRA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entered into a Master Repurchase Agreement with NYDIG Funding LLC (“NYDIG”), an unrelated third party (such Master Repurchase Agreement, the “NYDIG MRA”). The NYDIG MRA permitted us to sell digital assets to NYDIG and simultaneously agree to repurchase such assets at a later date, contractually defined as June 30, 2026, and at a predetermined price. Each transaction was subject to margin requirements and other customary terms relating to events of default and remedies.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30, 2026, we repaid all outstanding amounts under the NYDIG MRA, and the agreement was terminated. In connection with the repayment, NYDIG released 2,097 bitcoin pledged as collateral under the NYDIG MRA to us, which we subsequently returned to WCF, from which the bitcoin had originally been borrowed.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Galaxy MLA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2023, we entered into a Master Digital Currency Loan Agreement with Galaxy Digital LLC (“Galaxy”), an unrelated third party, that was amended and restated in April 2023 (as amended and restated, the “Galaxy MLA”). The Galaxy Lending Agreement permits us to make lending requests of various types to Galaxy Digital to borrow digital currency or U.S. dollars. Individual lending transactions may be structured as either term or open transactions. Under open transactions, either party may terminate all or a portion of the outstanding borrowing upon notice in accordance with the terms of the applicable lending transaction. All lending requests are subject to providing collateral (defined as a percentage of the value of the borrowed asset) as well as paying borrow fees and late fees. In certain circumstances, if the value of a borrowed asset changes relative to the collateral provided, we may be required to provide additional collateral to Galaxy Digital.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30, 2026, we entered into an open lending transaction with Galaxy to borrow $75.0 million at an annual borrow fee of 7.5% per annum. The borrowing is collateralized by bitcoin. As of June 30, 2026, $75.0 million was outstanding under the Galaxy MLA. The proceeds from the borrowing were used to refinance our obligations under the NYDIG MRA, which was repaid and terminated on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consolidated cash flows for the periods</w:t>
      </w:r>
    </w:p>
    <w:p>
      <w:pPr>
        <w:pStyle w:val="TextBody"/>
        <w:bidi w:val="0"/>
        <w:spacing w:lineRule="auto" w:line="288" w:before="0" w:after="0"/>
        <w:jc w:val="both"/>
        <w:rPr/>
      </w:pPr>
      <w:r>
        <w:rPr>
          <w:rFonts w:ascii="Times New Roman;serif" w:hAnsi="Times New Roman;serif"/>
          <w:b w:val="false"/>
          <w:color w:val="000000"/>
          <w:sz w:val="20"/>
        </w:rPr>
        <w:t>presented:</w:t>
      </w:r>
      <w:r>
        <w:rPr>
          <w:color w:val="000000"/>
        </w:rPr>
        <w:t xml:space="preserve"> </w:t>
      </w:r>
    </w:p>
    <w:tbl>
      <w:tblPr>
        <w:tblW w:w="8132" w:type="dxa"/>
        <w:jc w:val="left"/>
        <w:tblInd w:w="0" w:type="dxa"/>
        <w:tblLayout w:type="fixed"/>
        <w:tblCellMar>
          <w:top w:w="28" w:type="dxa"/>
          <w:left w:w="28" w:type="dxa"/>
          <w:bottom w:w="28" w:type="dxa"/>
          <w:right w:w="28" w:type="dxa"/>
        </w:tblCellMar>
      </w:tblPr>
      <w:tblGrid>
        <w:gridCol w:w="1954"/>
        <w:gridCol w:w="1717"/>
        <w:gridCol w:w="1729"/>
        <w:gridCol w:w="196"/>
        <w:gridCol w:w="811"/>
        <w:gridCol w:w="109"/>
        <w:gridCol w:w="109"/>
        <w:gridCol w:w="109"/>
        <w:gridCol w:w="109"/>
        <w:gridCol w:w="196"/>
        <w:gridCol w:w="721"/>
        <w:gridCol w:w="109"/>
        <w:gridCol w:w="109"/>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restricted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includes net income (loss) adjusted for non-cash expenses and non-cash movements in crypto assets and liabilities, as well as the effect of changes in operating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$105.9 million for the six months ended June 30, 2026, driven by net loss of $216.7 million and non-cash adjustments of $139.6 million, which primarily consisted of realized and unrealized losses on crypto assets and receivable, crypto assets pledged, stock-based compensation expense, crypto asset payments for expenses, provision for transaction losses, depreciation and amortization, lease expense, impairment, partially offset by realized and unrealized gains on related party crypto loans and derivatives, and crypto assets and warrants received as revenue. Additionally, cash used in operating activities was impacted by a net outflow from changes in operating assets and liabilities of $18.2 million, driven by the timing of cash receipts and payments, and vendor payment terms, and $10.5 million net outflow from purchases and disposals of crypto assets for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$18.5 million for the six months ended June 30, 2025, driven by net loss of $282.5 million and non-cash adjustments of $170.9 million, which primarily consisted of changes in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value on related party convertible term loans and related party convertible notes, realized and unrealized losses on related party crypto loans, depreciation and amortization, crypto asset payments for expenses, provision for transaction losses and stock-based compensation, partially offset by realized and unrealized gains on crypto assets and receivable, crypto assets pledged as well as crypto assets received as revenue. Additionally, cash used in operating activities was impacted by a net inflow from changes in operating assets and liabilities of $16.6 million, driven by the timing of cash receipts and payments, and vendor payment terms, and $76.4 million net inflow from purchases and disposals of crypto assets for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$38.5 million for the six months ended June 30, 2026, primarily driven by $15.1 million in net inflow for the purchases of and repayments on credit card receivables and $25.1 million in proceeds from the sale of crypto assets. This was partially offset by $1.8 million of capitalization of internally developed software costs and purchases of software, property and equipment.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$45.6 million for the six months ended June 30, 2025, primarily driven by $76.5 million in proceeds from the sale of crypto assets. This was partially offset by $28.8 million in net outflow for the purchase of and repayments on credit card receivables and $2.0 million of capitalization of internally developed software costs and purchases of software, property and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$80.6 million for the six months ended June 30, 2026, primarily driven by $845.0 million of proceeds from the Ripple Credit Agreement and $75.0 million of proceeds from the Galaxy loan agreement. These increases were partially offset by $852.2 million in repayments under the Ripple Credit Agreement, the $75.0 million repayment and termination of the NYDIG Master Repurchase Agreement, $73.2 million of net custodial funds outflows attributable to elevated customer redemptions, and $0.2 million in payments related to tax withholdings upon net settlement of equity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$76.1 million for the six months ended June 30, 2025, primarily driven by $91.2 million of net outflow from custodial funds due to customers from elevated redemptions, partially offset by $15.1 million in proceeds from related party loans.</w:t>
      </w:r>
    </w:p>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material future cash commitments are to repay our current indebtedness obligations, as described above in the “Indebtedness and Other Funding Arrangements” section, and make payments under leases for our facilities. We have operating leases for office facilities with remaining terms of one year to four years. Many leases include one or more options to renew, but renewals are not assumed in the determination of the lease term due to uncertainty. For more information, see </w:t>
      </w:r>
      <w:r>
        <w:rPr>
          <w:rFonts w:ascii="Times New Roman;serif" w:hAnsi="Times New Roman;serif"/>
          <w:b w:val="false"/>
          <w:i/>
          <w:color w:val="000000"/>
          <w:sz w:val="20"/>
        </w:rPr>
        <w:t>Note 13. Leases</w:t>
      </w:r>
      <w:r>
        <w:rPr>
          <w:color w:val="000000"/>
        </w:rPr>
        <w:t xml:space="preserve"> </w:t>
      </w:r>
      <w:r>
        <w:rPr>
          <w:rFonts w:ascii="Times New Roman;serif" w:hAnsi="Times New Roman;serif"/>
          <w:b w:val="false"/>
          <w:color w:val="000000"/>
          <w:sz w:val="20"/>
        </w:rPr>
        <w:t xml:space="preserve">to our unaudited condensed consolidated financial statements included in Part I, Item 1 of this Quarterly Report on Form 10-Q.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agreement with WebBank, we have an outstanding commitment to purchase all Gemini Credit Card customer receivables offered for sale by WebBank.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purchased under this program are recorded on our consolidated balance sheets as Credit card receivables pledged and Accounts receivable, net. As of June 30, 2026, we had purchased $219.6 million in Gemini Credit Card customer receivables pursuant to this arrangement. Amounts payable to the Issuing Bank for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pPr>
      <w:r>
        <w:rPr>
          <w:rFonts w:ascii="Times New Roman;serif" w:hAnsi="Times New Roman;serif"/>
          <w:b w:val="false"/>
          <w:color w:val="000000"/>
          <w:sz w:val="20"/>
        </w:rPr>
        <w:t xml:space="preserve">purchased but not yet settled in cash were $20.5 million and $12.8 million as of June 30, 2026 and December 31, 2025, respectively. See </w:t>
      </w:r>
      <w:r>
        <w:rPr>
          <w:rFonts w:ascii="Times New Roman;serif" w:hAnsi="Times New Roman;serif"/>
          <w:b w:val="false"/>
          <w:i/>
          <w:color w:val="000000"/>
          <w:sz w:val="20"/>
        </w:rPr>
        <w:t xml:space="preserve">Note 12. Accrued Expenses and Other Current Liabilities </w:t>
      </w:r>
      <w:r>
        <w:rPr>
          <w:rFonts w:ascii="Times New Roman;serif" w:hAnsi="Times New Roman;serif"/>
          <w:b w:val="false"/>
          <w:color w:val="000000"/>
          <w:sz w:val="20"/>
        </w:rPr>
        <w:t>for additional details</w:t>
      </w:r>
      <w:r>
        <w:rPr>
          <w:rFonts w:ascii="Times New Roman;serif" w:hAnsi="Times New Roman;serif"/>
          <w:b w:val="false"/>
          <w:i/>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Certain credit card receivables are pledged as collateral under our Ripple Credit Agreement (see </w:t>
      </w:r>
      <w:r>
        <w:rPr>
          <w:color w:val="000000"/>
        </w:rPr>
        <w:t>“</w:t>
      </w:r>
      <w:r>
        <w:rPr>
          <w:rFonts w:ascii="Times New Roman;serif" w:hAnsi="Times New Roman;serif"/>
          <w:b w:val="false"/>
          <w:i/>
          <w:color w:val="000000"/>
          <w:sz w:val="20"/>
        </w:rPr>
        <w:t>Indebtedness and Other Funding Arrangements—Ripple Credit Agreement”</w:t>
      </w:r>
      <w:r>
        <w:rPr>
          <w:rFonts w:ascii="Times New Roman;serif" w:hAnsi="Times New Roman;serif"/>
          <w:b w:val="false"/>
          <w:color w:val="000000"/>
          <w:sz w:val="20"/>
        </w:rPr>
        <w:t>). As of June 30, 2026 and December 31, 2025, the carrying value of pledged credit card receivables was $185.7 million and $188.8 million,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agreement creates an ongoing commitment to purchase future receivables as they are originated. The amount of future purchases will vary based on credit card usage and customer activity. We maintain sufficient cash on hand to fund these payments as they become due.</w:t>
      </w:r>
    </w:p>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unaudited consolidated financial statements and the related notes, which have been prepared in accordance with GAAP. The preparation of financial statements in conformity with GAAP requires us to make estimates and assumptions that affect the reported amounts of assets and liabilities as of the balance sheet date, as well as report amounts of revenue and expenses during the period. We base our estimates on historical experience, known trends and events, and various other assumptions that we believe to be reasonable under the circumstances. Actual results and outcomes may differ from management’s estimates and assumptions due to risks and uncertainties. To the extent there are differences between our estimates and actual results, our future financial statement presentation, financial condition, operating results, and cash flows will be affected.</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erif" w:hAnsi="Times New Roman;serif"/>
          <w:b w:val="false"/>
          <w:color w:val="000000"/>
          <w:sz w:val="20"/>
        </w:rPr>
        <w:t xml:space="preserve">There have been no material changes to our critical accounting estimates as compared to the critical accounting estimates disclosed in our Annual Report on Form 10-K which was filed with the Securities and Exchange Commission (the “SEC”) on March 31, 2026. Our significant accounting policies are more fully described in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to our unaudited condensed consolidated financial statements included in Part I, Item 1 of this Quarterly Report on Form 10-Q.</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to our unaudited condensed consolidated financial statements included in Part I, Item 1 of this Quarterly Report on Form 10-Q for a discussion about new accounting pronouncements adopted and not yet adopted as of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 risk is the risk to our financial statements associated with the effect of changes in market factors, including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primarily through our credit card receivables and our fixed-rate borrowing facilities.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earn interest income on outstanding credit card balances at rates indexed to the prime rate plus a spread. These receivables bear floating interest rates that adjust immediately with changes in the prime rate. A 100 basis point increase (decrease) in the prime rate would result in an increase (decrease) of approximately $2.2 million and $1.8 million in interest income based on average credit card balances outstanding during the three and six months ended June 30, 2026,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funding facilities bear interest at fixed rates with terms ranging from evergreen to one year. As of June 30, 2026, we had $221.9 million in outstanding principal borrowings under these facilities at a weighted average interest rate of 7.2%. While the fixed-rate nature of these borrowings limits our exposure to interest rate volatility during the term of the facilities, we are exposed to repricing risk upon maturity or refinancing. If interest rates increase prior to maturity or refinancing, our interest expense would increase upon entering into new or replacement financing arrangements.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short-term nature of the cash and cash equivalent holdings against our GUSD reserve and against custodial USD balances, we do not believe we have material exposure to interest rate risk from these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Digital Assets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digital asset prices impact our operations through unrealized gains and losses on digital assets inventory held. As of June 30, 2026 and December 31, 2025, unencumbered digital assets had an aggregate fair value of $72.3 million and $37.1 million, respectively, representing 5% and 2% of our total assets, respectively. A hypothetical 50% increase or decrease in digital assets prices as of June 30, 2026 and December 31, 2025 would result in a $36.2 million and $18.6 million impact, respectively, to the value of our unencumbered Crypto assets held.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digital asset-denominated liabilities, including borrowings from related parties that are collateralized by digital assets. While the principal amounts of these liabilities are substantially matched by corresponding digital asset holdings on our balance sheet, limiting our net exposure to digital asset price risk on principal balances, the interest expense on our related party digital asset borrowings is payable in U.S. dollars. As a result, appreciation in digital asset prices increases our interest expense in digital asset terms, while depreciation in digital asset prices decreases our interest expense in digital asset terms, creating additional exposure to digital asset price volatility.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Decreases in digital asset prices may have an adverse impact on operating results. Certain transaction revenues are generated in digital assets and accordingly, decreases in digital asset prices would reduce the U.S. dollar value of such revenues when converted. Additionally, significant declines in digital asset prices have historically correlated with reduced market sentiment and trading activity, which could result in lower transaction volumes and associated revenues on our platform.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financing agreement with Galaxy is collateralized by bitcoin holdings. Material declines in bitcoin prices may trigger margin calls, requiring us to post additional collateral or repay outstanding amounts, which could create liquidity demands and impact our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expenses, and financial results of our foreign subsidiaries are recorded in the functional currencies of these subsidiaries. Historically, our primary foreign currency exposures have been to the Singaporean Dollar (“SGD”) and British Pound (“GBP”). Following the announcement in February 2026 of our plan to exit and wind down operations in the United Kingdom and certain other international markets, we expect our exposure to GBP-denominated revenues and expenses to decrease over time. Our remaining foreign currency exposure is primarily related to SGD-denominated operations. Our foreign currency exposure arises from: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transaction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international subsidiaries operate at a loss, with foreign currency-denominated expenses exceeding those of local foreign-denominated revenues. As a result, appreciation of foreign currencies relative to the U.S. dollar may negatively affect our results of operations as expressed in U.S. dollars.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translation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working capital in our foreign subsidiaries. Additionally, we maintain a modest inventory of foreign currencies resulting from net client trading activity. Changes in foreign exchange rates result in translation gains or losses when these balances are translated to U.S. dollars for consolidation purposes. We hold cash and digital assets denominated in foreign currencies on behalf of customers. These custodial assets are matched by corresponding custodial liabilities denominated in the same currencies, resulting in minimal net foreign currency exposure from these balances.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Interim Chief Financial Officer, has evaluated the effectiveness of our disclosure controls and procedures (as defined in Rules 13a-15(e) and 15d- 15(e) under the Securities Exchange Act of 1934, as amended, or the Exchange Act), as of the end of the period covered by this Quarterly Report on Form 10-Q. Based on such evaluation, our Chief Executive Officer and Interim Chief Financial Officer have concluded that as of such date, our disclosure controls and procedures were not effective at the reasonable assurance level due to the material weaknesses in our internal control over financial reporting previously identified and disclosed in the Company’s final prospectus, dated September 11, 2025, filed with the SEC pursuant to Rule 424(b)(4) under the Securities Act of 1933, as amended, in connection with the IPO (the "Prospectus").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ineffective disclosure controls and procedures as a result of the previously identified material weaknesses that we are currently taking actions to remediate, our Chief Executive Officer and Interim Chief Financial Officer have concluded that the unaudited condensed consolidated financial statements included in this Quarterly Report on Form 10-Q present fairly, in all material respects, the Company's financial position, results of operations and cash flows in accordance with U.S.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Previously Reported Material Weaknesses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As previously disclosed in the Prospectus, we identified material weaknesses in our internal control over financial reporting as follows: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 We have concluded that these material weaknesses existed because, as a private company, we did not have the necessary business processes, systems, personnel, and related internal controls necessary to satisfy the accounting and financial reporting requirements of a public company. The foregoing deficiencies identified did not result in a material misstatement to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Committee of Sponsoring Organizations ("COSO") of the Treadway Commission framework and Internal Control over Financial Reporting standards; enhancing the review of journal entries and account reconciliations, including digital asset reconciliations; and retaining the services of third-party consultants to supplement our technical competencies and expertise. The remediation actions that we are taking are subject to ongoing senior management overview, as well as oversight by the Audit and Risk Committee of our board of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we are implementing our remediation plan related to identified material weaknesses. Except as discussed above, there were no changes to our internal control over financial reporting (as such term is defined in Rules 13a-15(f) and 15d-15(f) under the Exchange Act) that occurred during the most recently completed fiscal quarter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Interim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From time to time, we may be subject to various legal proceedings and claims that arise in the ordinary course of our business activities. The results of litigation and claims cannot be predicted with certainty. Refer to “</w:t>
      </w:r>
      <w:r>
        <w:rPr>
          <w:rFonts w:ascii="Times New Roman;serif" w:hAnsi="Times New Roman;serif"/>
          <w:b w:val="false"/>
          <w:i/>
          <w:color w:val="000000"/>
          <w:sz w:val="20"/>
        </w:rPr>
        <w:t>Risk Factors—Risks Relating to our Business and Industry—We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r>
        <w:rPr>
          <w:color w:val="000000"/>
        </w:rPr>
        <w:t>” “—</w:t>
      </w:r>
      <w:r>
        <w:rPr>
          <w:rFonts w:ascii="Times New Roman;serif" w:hAnsi="Times New Roman;serif"/>
          <w:b w:val="false"/>
          <w:i/>
          <w:color w:val="000000"/>
          <w:sz w:val="20"/>
        </w:rPr>
        <w:t>Disputes with our users could adversely impact our brand and reputation and our business, operating results, and financial condition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22. Commitments and Contingencie</w:t>
      </w:r>
      <w:r>
        <w:rPr>
          <w:rFonts w:ascii="Times New Roman;serif" w:hAnsi="Times New Roman;serif"/>
          <w:b w:val="false"/>
          <w:color w:val="000000"/>
          <w:sz w:val="20"/>
        </w:rPr>
        <w:t>s to our unaudited condensed consolidated financial statements included elsewhere in this Quarterly Report on Form 10-Q for a description of material legal proceedings to which we are a party.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An investment in our Class A common stock involves a high degree of risk. You should consider carefully the following risks, together with the financial and other information contained in this Quarterly Report on Form 10-Q, before you decide to purchase our Class A common stock. If any of the following risks or uncertainties actually occurs, our business, operating results, and financial condition could be materially and adversely affected. In that case, the market price of our Class A common stock could decline and you may lose all or a part of your investment. The risks discussed below are not exhaustive; additional risks or uncertainties not currently known to us, or that we currently deem immaterial, may also have a material adverse effect on our business, operating results, and financial condition. We cannot assure you that any of the events discussed below will not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slowing or stopping of the development or acceptance of blockchain networks and blockchain-based assets could have a material adverse effect on the successful development and adoption of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future development and growth of the digital asset industry is subject to a variety of factors that are difficult to predict and evaluate.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operating results have and will significantly fluctuate, due to inherent volatility associated with the digital asset industry including, but not limited to, the price of digital assets, regulatory scrutiny of certain digital assets or related products or services, or changes in applicable laws. 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net revenue is concentrated in a limited number of areas. For our digital asset exchanges, meaningful concentration of our revenue is from transactions in a limited number of crypto assets, including bitcoin and ether. If revenue from these areas declines and is not replaced by new trading in other digital assets or demand for other products and services, our business, operating results, and financial condition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failure to safeguard and manage our and our users’ fiat currencies and digital assets could adversely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or sold as a security or securities transaction, we may be subject to regulatory scrutiny, inquiries, investigations, fines, and other penalties, which may adversely affect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can be no assurance that Gemini Predictions or Gemini Stocks will gain sufficient user adoption or market share, and there is no guarantee that it will generate meaningful revenue for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slowing or stopping of the development or acceptance of blockchain networks and blockchain-based assets could have a material adverse effect on the successful development and adoption of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continued growth, development, and acceptance of blockchain networks, digital assets, and related technologies, which are subject to a high degree of uncertainty. Key factors influencing the further development of blockchain networks and digital assets include the global adoption of digital assets and blockchain technology; regulatory and quasi-government restrictions on access to and operation of blockchain networks; and the maintenance of open source protocols that support blockchain networks. Additional factors, such as shifts in consumer demographics and public preferences, the availability of alternative transaction methods, the potentially speculative nature of digital assets, and economic conditions domestically and globally, also contribute to this uncertainty. If blockchain adoption, acceptance, or functionality slows, halts, or changes in a way that diminishes our ability to grow our exchange and custody businesses, our financial condition and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future development and growth of the digital asset industry is subject to a variety of factors that are difficult to predict and evaluate.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market for digital assets declines or does not grow as we expect in terms of value, volume, or demand, our business, operating results, and financial condition could be materially adversely affected. Further,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growth and development of the digital asset ecosystem is uncertain. Blockchain technology, digital assets, smart contracts, dApps, and DeFi are components of a new and evolving paradigm that is subject to a variety of factors that are difficult to evaluate,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extreme price volatility or “black swan” events (i.e., highly improbable, unexpected occurrences with significant consequences that are extremely difficult to predict beforehand) with respect to different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have limited operating histories and are still in the process of development, which will affect the design, supply, issuance, functionality, and governance of their respective digital assets and underlying blockchain networks. Any of these factors could adversely affect their respective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are in the process of implementing software upgrades and other changes to their protocols, which could introduce bugs, security risks, and adversely affect the associated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issues, such as bugs or vulnerabilities in protocols, have led to disabled functionalities, exposure of personal information, and theft of users’ assets. These issues often require resolution by global miner, user, and developer communities, and their recurrence could undermine trust in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 respect to hardware used in connection with wallets and blockchain networks generally, there are risks related to technological obsolescence, the vulnerability of the global supply chain and difficulty in obtaining new hardware;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several large networks, including Bitcoin, Ethereum, and Solana, are developing new features to address fundamental speed, scalability, and energy usage issues. If these issues are not successfully addressed or are unable to achieve widespread adoption, they could adversely affect the underlying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digital assets and their underlying blockchain networks have identified security issues, bugs, and software errors, some of which have been exploited by malicious actors. There are also inherent security weaknesses in some digital assets, e.g., when creators of certain blockchain networks use procedures which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these computers) obtains a majority of the compute or staking power on a blockchain network, the actor or botnet might be able to manipulate transactions, which could cause significant financial losses to holders, damage the network’s reputation and security, and adversely affect its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of new technologies for mining, such as improved application-specific integrated circuits, and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rewards and transaction fees for miners or validators on any particular blockchain network are not sufficiently high to attract and retain miners or validators, a digital asset’s network’s security and speed may be adversely affected, increasing the likelihood of a malicious attack;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digital assets have concentrated ownership or an admin key, allowing a small group of holders to have significant unilateral control and influence over key decisions related to their blockchain networks or protocols, such as governance decisions and protocol changes, as well as the market price of such digital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blockchain network or protocol, a lack of incentives for developers to maintain or develop the network or protocol, and other unforeseen issues, any of which could result in unexpected or undesirable errors, bugs, or changes, or stymie such network or protocol’s utility and ability to respond to challenges and grow;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and protocols are in the early stages of developing partnerships and collaborations, any one or more of which may not succeed and adversely affect the usability and adoption of their respective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crypto assets. As a result, the prices of various digital assets are largely determined by speculators, miners and validators, thus contributing to price volatility which makes retailers less likely to accept digital assets as a form of payment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banks may not provide or may cut off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(such as bitcoin) and their or our utility as a payment system. These actions could decrease the price of crypto assets generally or individually;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is a lack of liquid markets in certain digital assets, and these markets are subject to possible manipulation;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digital assets have concentrated ownerships, and large sales or distributions by holders of such digital assets, or “whales,” could have an adverse effect on the market price of such digital assets;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characteristics of digital assets have been, and may in the future continue to be, exploited to facilitate illegal activity such as fraud, money laundering, tax evasion, and ransomware scams.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Acceptance and/or widespread use of digital assets is uncertain and the prices of digital assets can be extremely volatile. For example, since 2023, the trading price of bitcoin has fluctuated from a low of approximately $16,000 to highs above $120,000. Our revenue is substantially dependent on the prices of digital assets and volume of digital asset transactions conducted on our platform. If such price or volume declines, this would materially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are dependent on digital assets and the broader digital asset industry. Due to the highly volatile nature of the digital asset industry and the prices of digital assets, which have experienced and continue to experience significant volatility, our operating results have, and will continue to, fluctuate significantly from quarter to quarter in accordance with market sentiments and movements in the broader digital asset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operating results will continue to fluctuate significantly as a result of a variety of factors, many of which are unpredictable and in certain instances are outside of our control,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offerings that are, in turn, dependent on digital asset trading activity, including trading volume and the prevailing trading prices for digital assets, whose trading prices and volume can be highly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maintain, and grow our user base and engage our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legislative or regulatory environment, or actions by U.S. or foreign governments or regulators, including fines, orders, or consent decrees;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changes or scrutiny that impact our ability to offer certain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regulatory certainty, which could lead to greater competition from traditional financial services firms and other competitors with broader access to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continue to diversify and grow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pricing for or temporary suspensions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investments we make in the development of products and services, as well as international expansion, and sales and marketing;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adding digital assets to, or removing them from,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establish and maintain partnerships, collaborations, joint ventures, or strategic alliances with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of, and overall sentiment towards,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macroeconomic conditions, including interest rates, inflation, and instability in the global banking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settlements, or other legal proceeding and enforcement-related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introduction of existing and new products and services by us or our competitors or the emergence of new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control costs, including operating expenses incurred to grow and expand our operations and remain competitive;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system failure, outages, or interruptions, including with respect to our digital asset platform and third-party digital asset networks, which have occurred in the past and will likely occur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breaches of security or privacy;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and retain talent.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factors, it is difficult for us to forecast growth trends accurately and our business and future prospects are difficult to evaluate. In view of the rapidly evolving nature of our business and the digital asset industry, period-to-period comparisons of our operating results may not be meaningful, and you should not rely upon them as an indication of future performance. Quarterly and annual expenses reflected in our financial statements may vary significantly from historical or projected rates and our operating results in one or more future quarters may fall below the expectations of securities analysts and investors. As a result, the trading price of our Class A common stock may be volatile.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a large portion of our total revenue from transaction fees on our platform in connection with the purchase, sale, and trading of digital assets by our users. The transaction price, represented by the trading fee, varies depending on the value of the transaction and/or the user’s transaction volume processed over the previous thirty-day period. Instant orders also incur a convenience fee that is typically calculated above the market price. Declines in the volume of digital asset transactions, the price of digital assets, or market liquidity for digital assets generally may result in lower total revenue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price of digital assets and associated demand for buying, selling, and trading digital assets have historically been subject to significant volatility. For instance, in 2017, the value of certain digital assets, including bitcoin, experienced steep increases in value, and our user base expanded worldwide. Value increases of certain digital assets, including bitcoin, from 2016 to 2017, and then again in 2021, were followed by a steep decline in 2018 and again in 2022, which adversely affected our net revenue and operating results. While the value of digital assets, including bitcoin, increased significantly in 2024 and 2025, they have decreased in value in 2026 and if the value of digital assets and transaction volume continue to decline, our ability to generate revenue may suffer and user demand for our products and services may decline. These factors could adversely affect our business, operating results, and financial condition and cause the price of our Class A common stock to decline. The price and trading volume of any digital asset is subject to significant uncertainty and volatility, depending on a number of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of, and overall sentiment towards, digital assets and the digital asset industry, including, but not limited to, as a result of actions taken by or developments of other participants in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liquidity, market-making volume, and trading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trading activities on other digital asset platforms worldwide, including platforms that may be impacted by manipulative trading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 and trading activities of highly active consumer and institutional users, speculators, miners, validators, and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speed and rate at which digital assets are able to gain adoption as a medium of exchange, utility, store of value, consumptive asset, security instrument, or other financial assets worldwide,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or inability of the digital asset industry to develop and commercialize profitable near-term use cases for digital assets and blockchain technology generally;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decreased user and investor confidence in digital assets and crypto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publicity and events relating to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unpredictable social media coverage or “trending” of digital assets, or other rumors and market speculation regarding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functionality and utility of digital assets and their associated ecosystems and networks, including digital assets designed for use in various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preferences and perceived value of digital assets and digital asset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competition from other payment services or other digital assets that exhibit better speed, security, scalability, or other characteristics;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or legislative changes, including a change in sentiment towards, and scrutiny and updates affecting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characterization of digital assets under the laws of various jurisdictions around the world, some of which could require technical modifications to our platform that would be difficult and time consuming to complete;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adoption of unfavorable taxation policies on digital asset investments by governmental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maintenance, troubleshooting, and development of blockchain networks and associated digital assets, including by miners, validators, and developers worldwide;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for blockchain networks to attract and retain miners or validators to secure and confirm transactions accurately and efficiently;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and regulatory changes affecting the operations of miners and validators of blockchain networks, including limitations and prohibitions on mining activities, or new legislative or regulatory requirements as a result of growing environmental concerns around the use of energy in Bitcoin and other proof-of-work mining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ongoing technological viability and security of digital assets and their associated smart contracts, applications, and networks, including vulnerabilities against hacks and scalability;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fees and speed associated with processing digital asset transactions, including on the underlying blockchain networks and on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financial strength of market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cost of funding and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credit risk of other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interruptions or temporary suspensions or other compulsory restrictions in products or services from or failures of major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an active derivatives market for various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banking and payment services to support digital asset-related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instability in the global banking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interest rates and inflation;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monetary policies of governments, trade restrictions, and fiat currency devaluations;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national and international economic and political conditions.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no assurance that any supported digital asset will maintain its value or that there will be meaningful levels of trading activities. In the event that the price of digital assets or the demand for trading digital assets declines, our business, operating results, and financial condition would be adversely affected and the price of our Class A common stock could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net revenue is concentrated in a limited number of areas. For our digital asset exchanges, a meaningful concentration of our revenue is from transactions in a limited number of crypto assets, including bitcoin and ether. If revenue from these areas declines and is not replaced by new trading in other digital assets or demand for other products and services,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revenue is concentrated in a limited number of areas, such as transactions in bitcoin, ether, and solana. During 2022 and 2023, the value of these and other digital assets declined steeply. While the value of many digital assets recovered and reached record highs in 2024 and 2025, the prices of digital assets have generally decreased in 2026 and, if the value of these digital assets continues to decrease, or does not increase again in the future, our business and operating results could be adversely affected. As such, in addition to the factors impacting the broader digital asset industry described in this section, our revenue may be adversely affected if the markets for bitcoin, ether, and solana deteriorate or if their prices decline, including because of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reduction in mining rewards of Bitcoin, including block reward halving events, which are events that occur after a specific period of time and reduces the block reward earned by miners;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migration of Ethereum to a proof-of-stake consensus mechanism;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hacks, splits in the underlying networks also known as forks, attacks by malicious actors who control a significant portion of the networks’ hash rate through double spend or 51% attacks, and similar incidents affecting the Bitcoin, Ethereum, or Solana blockchain networks;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 forks resulting in the creation of and divergence into multiple separate networks, such as Bitcoin Cash and Ethereum Classic;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informal governance led by Bitcoin, Ethereum, and Solana’s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for Bitcoin, Ethereum, and Solana’s blockchain networks to resolve significant scaling challenges and increase the volume and speed of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transaction congestion and fees associated with processing transactions on the Bitcoin, Ethereum, and Solana networks;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identification of Satoshi Nakamoto, the pseudonymous person or persons who developed Bitcoin, or the transfer of Satoshi’s bitcoin;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perception of Bitcoin, Ethereum, and Solana;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developments in mathematics, technology, digital computing, algebraic geometry, and quantum computing that could result in the cryptography which is used by Bitcoin, Ethereum, and Solana becoming insecure or ineffective;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legislative, or other compulsory or informal restrictions or limitations on Bitcoin, Ethereum, and Solana lending, mining, or staking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credit risk issues experienced by other digital asset platforms and other participants of the digital asset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laws and regulations affecting the Bitcoin, Ethereum, and Solana networks or access to these networks, including a determination that either Bitcoin, Ethereum, or Solana constitutes a security or other regulated financial instrument under the laws of any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significant amount of the trading volume on our platform is derived from a relatively small number of institutional market makers, and the loss of these market makers, or a reduction in their trading volume,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relatively small number of institutional market makers have historically accounted for around half of the total trading volume on our platform. We expect significant trading volume and net revenue attributable to these market makers for the foreseeable future. As a result, while our business is not materially dependent on any single user, a loss of these market makers, or a reduction in their trading volume, and our inability to replace them,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expenses may increase in the future, and absent corresponding revenues we may not be able to achieve profitability or positive cash flow from operations, which may cause our business, operating results, and financial condition to be adversely impacted.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expenses may increase in the future as we continue to attract and retain talent, expand our sales and marketing efforts, develop additional products and services, expand our international business, and incur regulatory or compliance expenses. While we consistently evaluate opportunities to drive efficiency, we cannot guarantee that these efforts will be successful. Our operations may prove more expensive than we currently anticipate, and we may not succeed in increasing our net revenue sufficiently to offset these higher expenses. Our revenue growth may be further impacted by reduced demand for our offerings, increased competition, adverse macroeconomic conditions, a decrease in the growth or size of the digital asset industry, regulatory uncertainty or scrutiny, or changes that impact our ability to offer certain products or services, any failure to capitalize on growth opportunities, or failure of new products and services we develop to gain traction in the market. We cannot be certain that we will be able to achieve profitability or achieve positive operating cash flow in any period. If we are unable to effectively manage these risks and difficulties as we encounter them, our business, operating results, and financial condition may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Adverse economic conditions may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performance is subject to general economic conditions, and their effects on the digital asset markets and our users. The United States and other key international economies have periodically experienced cyclical downturns in which economic activity declined resulting in lower consumption rates, restricted credit, reduced profitability, weaknesses in financial markets, bankruptcies, and overall heightened economic uncertainty. Adverse general economic conditions have impacted digital assets, although the extent of which remains uncertain and dependent on a variety of factors, including market adoption of digital assets, global trends in the digital asset industry,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capital and credit markets have experienced extreme volatility and disruptions in the past, leading to significant declines in the value of digital assets. To the extent general economic conditions and digital assets markets materially deteriorate or the current decline continues for a prolonged period, our ability to generate revenue and to attract and retain users could suffer and our business, operating results, and financial condition could be adversely affected. Moreover, even if general economic conditions improve, there is no guarantee that the digital asset industry will similarly improve.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 2022, several blockchain protocols and digital asset financial firms, and in particular protocols and firms involving high levels of financial leverage such as high-yield lending products or derivatives trading, suffered from insolvency and liquidity crises, including FTX, Celsius Networks, Voyager, and Three Arrows Capital. Some of these failures are alleged or have been held to be the result of fraudulent activity by insiders, including misappropriation of user funds, illicit activity, and failures in internal controls. In connection with these incidents, concerns were raised about the potential for a market condition where the failure of one company leads to the financial distress of other companies. If such a market condition were to become widespread in the digital asset industry, we could suffer from increased counterparty risk, including defaults or bankruptcies of major users or counterparties, which could lead to significantly reduced activity on our platform and fewer available digital asset market opportunities in general. Further, forced selling of digital assets by distressed companies could lead to lower digital asset prices and may lead to a reduction in our revenue. To the extent that conditions in the general economic and digital asset markets were to materially deteriorate, our ability to attract and retain users may suffer.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regarding such events or other similar risks, have in the past and may in the future lead to market-wide liquidity problems. For example, in March 2023, Silvergate Capital Corp. announced it would wind down operations and liquidate Silvergate Bank. Soon after, the Federal Deposit Insurance Corporation was appointed as receiver for Silicon Valley Bank and Signature Bank. As a result of these developments and related issues with other financial institutions, the prices of fiat-backed stablecoins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temporarily impacted and may be similarly impacted again in the future. Instability in the global banking system could have negative ramifications, such as additional market-wide liquidity problems or impacted access to deposits and investments for users of affected banks and certain banking partners. Our business, operating results, and financial condition could be adversely affected as a result.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Economic downturns may also negatively affect our cardholders’ ability to repay outstanding debt, leading to increased delinquency and default rates. During periods of economic stress, such as recessions or rising unemployment, cardholders may face reduced income or financial instability, impairing their ability to meet payment obligations. Higher delinquency rates can result in increased credit losses and may require us to increase our loan loss reserves, which could adversely affect our profitability. Additionally, prolonged economic hardship may limit our ability to recover on charged-off accounts, further impacting financial performance. These factors could acutely impact our credit card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Fluctuations in currency exchange rates could harm our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generated and expenses incurred from our international operations are often denominated in the currencies of the local countries. Accordingly, changes in the value of foreign currencies relative to the U.S. dollar can affect our operating results reflected in our U.S. dollar-denominated financial statements. Our financial results are also subject to changes in exchange rates that impact the settlement of transactions in non-functional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From time to time, we may engage in currency hedging activities to limit the risk of foreign currency exchange rate fluctuations. To the extent we use hedging instruments to hedge exposure to fluctuations in foreign currency exchange rates, the use of such hedging instruments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fluctuations could negatively impact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level of prevailing short-term interest rates affects our profitability because we derive a portion of our revenue from interest earned from funds deposited with us by our users which we hold on their behalf in custodial accounts at banks and from stablecoin revenue, which is derived from interest earned on GUSD reserve balances. Higher interest rates increase the amount of interest income and stablecoin revenue earned from these activities. When short-term interest rates decline, our revenue derived from interest correspondingly declines, which negatively impacts our profitability. Further, if interest rates were to significantly decline from levels reached in the recent interest rate environment, our net revenue could decline. Conversely, when interest rates increase, investors may choose to shift their asset allocations, which could negatively impact our stock price or the digital asset industry more generally.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Rising interest rates may also materially and adversely impact our credit card program by impacting cardholders’ ability to repay outstanding balances, leading to higher delinquency and default rates. As interest rates increase, the cost of carrying debt rises for cardholders, which may strain their financial resources and reduce their capacity to meet monthly payment obligations. This environment could lead to a higher proportion of cardholders falling behind on payments, increasing our credit losses and requiring us to raise our loan loss reserves. Additionally, higher interest rates may reduce cardholder spending and demand for credit, which could limit the revenue, growth, and profitability of our credit card business. These effects could collectively harm our credit card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failure to safeguard and manage our and our users’ fiat currencies and digital assets could adversely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fiat currencies and safeguard digital assets on behalf of our users. Our expanding number of regulated entities will rely on an increasing number of hot, MPC, and cold wallets, as well as an increasing number of omnibus bank accounts, which heightens the complexity of our operations, including fiat and blockchain reconciliations and the maintenance of our internal ledger and related accounting procedures.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reputation, business, operating results, and financial condition.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manage and accurately safeguard our users’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users’ balances and handle large and growing transaction volumes and amounts of user funds. Any failure by us to maintain the necessary controls or to manage user digital assets and funds appropriately and in compliance with applicable regulatory requirements could result in reputational harm or significant financial losses, lead users to discontinue or reduce their use of our products, and result in significant penalties and fines and additional restrictions,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deposit, transfer, and custody user cash and digital assets in multiple jurisdictions. In each instance, we are required to safeguard users’ assets using bank-level security standards applicable to our hot and cold wallet and storage systems, as well as our financial management systems related to such custodial functions. In general, the overwhelming majority of digital assets on our platform are held in cold storage.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user digital assets and funds. The methods used to obtain unauthorized access, disable, or degrade service or sabotage systems are also constantly changing and evolving and may be difficult to anticipate or detect for long periods of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hold fiat currency and digital assets for administrative and operating purposes. We segregate such assets from our users’ assets by maintaining an internal ledger that distinguishes between customer assets, company assets, and those of affiliates or others. We perform monthly reconciliations between this ledger and onchain balances, maintain an audit trail of all ledger and trading activity, and utilize controls that are subject to our SOC 1 Type 2 exam. Despite these steps we take to segregate such assets from our user assets, any failure to properly safeguard, manage, or account for these funds could result in financial losses, regulatory scrutiny, reputational harm, or legal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or destruction of a private key required to access our or our users’ digital assets may be irreversible. If we are unable to access our private keys or if we experience a hack or other data loss relating to the digital assets we hold on behalf of users, our users may be unable to access their digital assets, which could harm user trust in us and our products and services and cause regulatory scrutiny.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own, transfer, and use a digital asset on an underlying blockchain network, a person must have a private and public key pair associated with a blockchain address, commonly referred to as a “wallet.” Digital assets are generally controllable only by the possessor of the unique private key relating to the wallet in which the digital assets are held. To the extent that any of the private keys or other necessary credentials relating to our wallets containing digital assets held for our own account or for our users is lost, destroyed, or otherwise compromised or unavailable, and no backup of the private key is accessible, we will be unable to access the digital assets held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related wallet. Any loss of private keys or other credentials relating to, or hack or other compromise of, digital wallets used to store our users’ digital assets could adversely affect our users’ ability to access or sell their digital assets, require us to reimburse our users for their losses, and subject us to significant financial losses in addition to losing user trust in us and our products and services. As such, any loss of private keys or other digital wallet credentials due to a hack, employee or service provider misconduct or error, or other compromise by third parties could negatively impact our brand and reputation, result in significant losses, and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Cyberattacks and security breaches—whether affecting our platform, our employees, our users, or third parties—could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involves the collection, storage, transmission, and processing of confidential information such as user, employee, service provider, and other personal data, and information required to access user assets. We have built our reputation on the premise that our platform offers users a secure way to purchase, store, and transact in digital assets. As a result, any actual or perceived security breach affecting us or our third-party partners may: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harm our reputation and brand;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our systems, networks, or services being unavailable and interrupt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improper disclosure of data and violations of applicable privacy and data protection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significant regulatory scrutiny, investigations, fines, penalties, and other legal, regulatory, and financial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cause us to incur significant remediation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lead to theft or irretrievable loss of our or our users’ fiat currencies or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user confidence in, or decreased use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divert the attention of management from the operation of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significant compensation or contractual penalties from us to our users or third parties as a result of losses to them or claims by them;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adversely affect our business and operating results.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in 2022, certain of our third-party vendors and suppliers experienced data breaches, which resulted in the exposure of the email addresses and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increasing number of organizations, including large merchants, businesses, technology companies, financial institutions, and government institutions have disclosed breaches of their information security systems and networks, some of which have involved sophisticated and highly targeted attacks, on their or their third-party service providers’ websites, mobile applications, and infrastructure. Any actual or perceived breach or cybersecurity attack directed at other financial institutions or digital asset companies, whether or not we are directly impacted, could lead to a general loss of user confidence in the digital asset industry or in the use of technology to conduct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transactions, which could negatively impact us and market perception of the effectiveness of our security measures and technology infrastructure.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Attacks upon systems and networks across a variety of industries, including the digital asset industry, are increasing in their frequency, persistence, and sophistication, and, in many cases, are being conducted by sophisticated, well-funded, and organized groups and individuals which include state actors. The techniques used to obtain unauthorized, improper, or illegal access to systems and information (including users’ personal data and digital assets), disable or degrade services, or sabotage systems are constantly evolving, may be difficult to detect quickly, and often are not recognized or detected until after they have been launched against a target. Such threats may see their frequency increased and effectiveness enhanced by the use of artificial intelligence (“AI”). Further, these risks may be heightened in connection with ongoing global conflicts, such as Russia’s invasion of Ukraine or the conflicts in the Middle East. Attacks may occur on our systems and networks or those of our third-party service providers or partners. Certain types of cyberattacks could harm us even if our systems and networks remain undisturbed. Attacks may be designed to exploit operational vulnerabilities or other weaknesses in our processes or procedures, to deceive employees and service providers into releasing control of our systems or networks, or to introduce computer viruses and malware into our systems or networks with the intent to steal confidential or proprietary data. Additionally, certain threats are designed to remain dormant or undetectable until launched against a target, and we may not be able to implement adequate preventative measures.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developed systems and processes designed to protect the data we manage, prevent data loss and other security breaches, effectively respond to known and potential risks, and expend significant resources to bolster these protections, there can be no assurance that these security measures will provide absolute security or prevent breaches or attacks. We have in the past and may, from time to time, experience future breaches of our security measures, which may or may not materially affect our business operations. These breaches may be due to human error, malfeasance, insider threats, system errors, system vulnerabilities and other irregularities. Unauthorized parties have attempted, and we expect that they will continue to attempt, to gain access to our systems and networks, as well as those of our users, partners, and third-party service providers, through various means, including hacking, social engineering, phishing, ransomware, denial-of-service attacks, and attempting to fraudulently induce individuals (including employees, service providers, and our users) into disclosing usernames, passwords, payment card information, and other sensitive information, which may in turn be used to access our information technology systems and users’ digital assets. Threats can come from a variety of sources such as criminal hackers, hacktivists, state-sponsored intrusions, industrial espionage, and insiders. Certain threat actors may be supported by significant financial and technological resources, making them even more sophisticated and difficult to detect. We may also acquire other companies that expose us to unexpected security risks or increase costs to improve the security posture of the acquired company. Further, there has been an increase in such threat actor activities because of the increased prevalence of hybrid and remote working arrangements in recent years. As a result, our costs and the resources we devote to protecting against these advanced threats and their consequences may continue to increase over time. Any perceived or actual security breach—whether affecting our platform, our users, or third parties—may expose us to legal risk and potential liability, including governmental or regulatory investigations and class action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generally perform cybersecurity diligence on our key third-party service providers, we do not control our third-party service providers and our ability to monitor their cybersecurity measures is limited. Some of our third-party service providers may store or have access to our data and may not have effective controls, processes, or practices to protect our information from data breaches or other cybersecurity incidents.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Due to applicable laws and regulations or contractual obligations, we may be held responsible for data breaches or other cybersecurity incidents attributed to our service providers as they relate to the information we share with them.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incidents could expose us to significant financial and legal liabilities, including regulatory fines, penalties, litigation, and remediation costs.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Although we maintain insurance coverage, it may be insufficient to protect us against all losses and costs stemming from security breaches, cyberattacks, other types of unlawful activity or resulting disruptions, data theft, and loss from such events. We cannot be certain that our insurance coverage will continue to be available to us on economically reasonable terms, if at all, or that any insurer will not deny coverage as to any future claims. Outages and disruptions of our platform, including any caused by cyberattacks, may harm our reputation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Custody services, and any blockchain technology on which they rely, may be the target of cyberattacks or may contain exploitable flaws in their underlying code, which may result in security breaches and the loss or theft of digital assets that are held or deposited.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Custody services, their structural foundation, and the software applications and other interfaces or applications upon which they rely (including blockchain technology) are based on relatively new technologies, and there can be no assurances that custody services are or will be fully secure, which may result in losses of users’ digital assets and an unwillingness of market participants to access, adopt, and utilize digital assets or the custody services. Examples of the above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cyberattack causing a user withdrawal instruction, or a withdrawal address being altered;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user receiving an incorrect blockchain address, or us sending digital assets to the wrong blockchain address;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hardware failures delaying or preventing deposits and withdrawals;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tampering or spoofing of user instructions and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deposit addresses being incorrectly stored;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hacking or unavailability of user portals rendering users unable to access their account;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vulnerabilities within the applicable blockchain code arising or the blockchain being manipulated by a malicious actor;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attacks on third-party technology supplier infrastructure, such as cloud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cyberattack causing the individual to lose otherwise valid credentials;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tampering with laptop codes to cause withdrawals to incorrect withdrawal addresses;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bad acts by employees, third-party service providers, and others.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will take steps to ensure security and protection against such incidents, no assurance can be given that our custody services are or will be fully secure and protected from attack, and any failure in this regard could result in enforcement actions, litigation, significant costs being incurred, fines, and other penalties, thereby adversely affecting our reputation, business, operating results, and financial condition. The impact of such attacks could also negatively impact the utilization of digital assets and potentially result in a decline in the broader market price of the affected digital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reputation and ability to attract and retain users and grow our business depends on our ability to operate our service at high levels of reliability, scalability, and performance, including the ability to process and monitor, on a daily basis, a large number of transactions that occur at high volume and frequencies across multiple systems. Our digital asset exchange and the ability of our users to trade digital assets are dependent on our ability to access the blockchain networks underlying the supported digital assets, for which access is dependent on our systems’ ability to access the internet. Further, the successful and continued operations of such blockchain networks will depend on a network of computers, miners, or validators, and their continued operations, all of which may be impacted by service interruptions.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systems, the systems of our third-party service providers and partners, and certain digital asset and blockchain networks have experienced from time to time, and may experience in the future, service interruptions or degradation. This can be due to hardware and software bugs,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trading volumes or site usage could cause our computer systems to operate at an unacceptably slow speed or even fail. Some of our systems, including systems of companies we have acquired, or the systems of our third-party service providers and partners are not fully redundant, and our or their disaster recovery planning may not be sufficient for all possible outcomes or events.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our systems or networks, or those of our third-party service providers, are disrupted for any reason, as has happened in the past, our products and services may be interrupted or even fail, potentially resulting in unanticipated disruptions, slower response times and delays in our users’ trade execution and processing, failed settlement of trades, delays in withdrawing stakes assets, incomplete or inaccurate accounting, recording, or processing of trades, unauthorized trades, loss of user information, increased demand on limited user support resources, user claims, complaints with regulatory organizations, lawsuits, or enforcement actions. A prolonged interruption in the availability or reduction in the availability, speed, or functionality of our products and services could harm our operations, including our exchange, custody, credit card, prediction market, and/or securities brokerage businesses. Significant or persistent interruptions in our services could cause current or potential users or partners to believe that our systems are unreliable, leading them to switch to our competitors or to avoid or reduce the use of our products and services, and could permanently harm our reputation. Moreover, to the extent that any system failure or similar event results in damages to our users or their business partners, these users or partners could seek significant compensation or contractual penalties from us for their losses, and those claims, even if unsuccessful, would likely be time-consuming and costly for us to address. Problems with the reliability or security of our systems would harm our reputation and the cost of remedying these problems could negatively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While we have business continuity, disaster recovery and other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covered or addressed by such policies and procedures.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are a regulated financial institution in certain jurisdictions, interruptions may result in regulatory scrutiny, and significant or persistent interruptions could lead to significant fines and penalties, and mandatory and costly changes to our business practices, and ultimately could cause us to lose existing licenses or banking relationships that we need to operate or prevent or delay us from obtaining additional licenses that may be required for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platform may be exploited to facilitate illegal activity such as fraud, money laundering, terrorist financing, proliferation financing, tax evasion, and scams. If any of our users use our platform to further such illegal activities,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may be exploited to facilitate illegal activity including fraud, money laundering, terrorist financing, proliferation financing, tax evasion, and scams.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user is found responsible for intentionally or inadvertently violating the laws in any jurisdiction, we may be subject to governmental inquiries, enforcement actions, or prosecution,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U.S. federal and state and foreign regulatory authorities and law enforcement agencies, such as the Department of Justice, SEC, CFTC, the FTC, or the Internal Revenue Service (“IRS”), and various state securities and financial regulators have taken and continue to take legal action against persons and entities alleged to be engaged in fraudulent schemes or other illicit activity involving digital assets. We also support digital assets that incorporate privacy-enhancing features, and may from time to time support additional digital assets with similar functionalities. These privacy-enhancing digital assets obscure the identities of sender and receiver, and may prevent law enforcement officials from tracing the source of funds on the blockchain. Facilitating transactions in these digital assets may cause us to be at increased risk of liability arising out of anti-money laundering (“AML”) and economic sanctions laws and regulations.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our risk management and compliance framework is designed to detect significant illicit activities conducted by our potential or existing users, we cannot ensure that we will be able to detect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illegal activity on our platform. Illegal activity, the appearance of illegal activity, or government inquiries into the potential for illegal activity may have an adverse impact on our business, operating results, and financial condition. Further, any efforts to identify and remedy such illegal or fraudulent activity may be costly, time-consuming and ultimately may not be successful. If any of our users use our platform to further such illegal activities, our business and reputation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From time to time, we may encounter technical issues in connection with the integration of supported digital assets and changes and upgrades to their underlying networks, which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support any supported digital asset, a variety of front and back-end technical and development work is required to implement our wallet, custody, trading, staking and other solutions for our users, and to integrate such supported digital assets with our existing technical infrastructure. Some digital assets require extensive development work, and there is no guarantee that we will be able to integrate successfully with any existing or future digital asset. In addition, such integration may introduce software errors or weaknesses into our cryptocurrency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digital asset exchanges. If we are unable to identify, troubleshoot and resolve any such issues successfully, we may be forced to stop supporting the affected digital asset. This could result in frozen or lost user assets, compromised wallet security, and disruptions to our digital asset exchange and technical infrastructure, all of which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Relatedly, as new product features or additional supported assets are made available by our digital asset exchanges, the various system components and supporting function systems may not integrate properly and the new product features may not be sufficient to meet the needs of our users. Such potential technical limitations may limit our ability to effectively respond to industry and regulatory changes, market demands, or user needs. For more information, see “</w:t>
      </w:r>
      <w:r>
        <w:rPr>
          <w:color w:val="000000"/>
        </w:rPr>
        <w:t>—</w:t>
      </w:r>
      <w:r>
        <w:rPr>
          <w:rFonts w:ascii="Times New Roman;serif" w:hAnsi="Times New Roman;serif"/>
          <w:b w:val="false"/>
          <w:i/>
          <w:color w:val="000000"/>
          <w:sz w:val="20"/>
        </w:rPr>
        <w:t>Risks Relating to our Business and Industry—If we cannot keep pace with rapid industry changes to provide new and innovative products and services, the use of our products and services, and consequently our net revenue, could decline, which could adversely impact our business, operating results, and financial condition.</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insurance coverage is limited, may not cover all losses, and could be hard to maintain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insurance carriers to insure losses resulting from a breach of our physical security or cybersecurity measures, or by employee or third-party theft. Our insurance coverage for such malfeasance is limited and may not cover the extent of loss nor the nature of such loss, in which case we may be liable for the full amount of losses suffered, which could be greater than all of our assets. Our ability to maintain such insurance is subject to the insurance carriers’ ongoing underwriting criteria. Our inability to obtain and maintain appropriate insurance coverage could result in substantial business disruption, adverse reputational impact, inability to compete with our competitors, and regulatory scrutiny. Any loss of a user’s fiat currency or digital assets could result in a subsequent lapse in insurance coverage,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asset industry is highly innovative, rapidly evolving, characterized by competition, experimentation, changing user needs, frequent introductions of new products and services, and uncertain and evolving industry and regulatory requirements. We expect competition across our products and services to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intensify in the future as existing and new competitors introduce new products and services or enhance existing products and services. We compete against a number of companies operating both within the United States and abroad, including those that focus on traditional financial services and those that focus on digital asset-based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current and contemplated competition falls into the following categories: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highly regulated digital asset custodians and exchanges, both in the U.S. and abroad;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foreign digital asset custodians and exchanges that are either unregulated or subject to significantly less stringent or onerous regulation, some of whom are potentially able to more quickly adapt to trends, support a greater number of digital assets, and develop new digital asset-based products and services due to less stringent or onerous regulatory scrutiny;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DEXs, DAOs, and dApps;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stablecoin issuers, both in the U.S. and other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traditional financial technology and brokerage firms that have entered, or may enter, the digital asset market to offer overlapping features targeted at our users;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credit card issuers in the credit card market, which makes it potentially difficult to attract and retain users for our Gemini Credit Card due to intense competition.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a major source of competition has been from companies, in particular those located outside the U.S., who at times are and may in the future be subject to significantly less stringent regulatory and compliance requirements in their local jurisdictions. Their business models benefit from being unregulated or only regulated in a small number of jurisdictions with less onerous regulations than the U.S., while also offering their products in highly regulated jurisdictions, including the United States, without necessarily complying with the relevant regulatory requirements in such jurisdictions. Our ability to compete with these companies is limited. Due to the fact that we hold licenses in several jurisdictions with developed regulatory regimes, we have not been able to offer products and services that some users may desire, including products and services that our unregulated or less regulated competitors offer to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compete against an increasing number of DeFi and noncustodial platforms, including DEXs and DAOs. On these platforms, users can interact directly with a market-making smart contract or onchain trading mechanism to exchange one type of digital asset for another without any centralized intermediary.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A large number of decentralized platforms have been developed and released on Ethereum, Tron, Polkadot, Solana, and other platforms, many of which have experienced significant growth and adoption. Concerns about the security of assets following incidents on centralized exchanges, such as the Chapter 11 bankruptcy filing of FTX and convictions for fraud and mismanagement of funds of its founder and former CEO, may increase adoption of decentralized and noncustodial platforms. Decentralized exchanges may also not require their users to fill out Know Your Customer (“KYC”) forms, offering an additional layer of privacy to users. We expect interest in decentralized and noncustodial platforms to grow further as the industry develops. If our users move to these decentralized exchanges, our revenue may decline and our business, operating results, and financial condition will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expended significant managerial, operational, and compliance costs to meet the legal and regulatory requirements applicable to us in the United States and other jurisdictions in which we operate, and expect to continue to incur significant costs to comply with these requirements, which these unregulated or less regulated competitors, particularly those structured as DEXs and DAOs, have not had and may not have to incur.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Prediction markets, in particular, have recently emerged as a highly competitive market, with new players expected to enter the field in the near future. If we do not secure substantial market share quickly, we may face intensified challenges in competing effectively with other entrants, which could harm our operating results. Similarly, if we are unable to capture a significant market share in the credit card industry, the intense competition within this already saturated market could make it challenging to differentiate our product and achieve our growth targets.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given the broad scope of our products and services, we also compete with digital and mobile payment companies and anticipate increasing competition from traditional financial services companies. 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and potential competitors possess various competitive advantages over us,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trade digital assets and offer products and services that we do not support or offer on our platform (due to constraints from regulatory authorities, our banking partners, and other factors) such as tokens that constitute securities or derivative instruments under U.S. or foreign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name recognition, longer operating histories, larger user bases, and larger market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sales and marketing budgets and organizations;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more established marketing, banking, and compliance relationships;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user support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resources to make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lower labor, compliance, risk mitigation, and research and development costs as a percentage of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and more mature intellectual property portfolios;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number of applicable licenses or similar authorizations;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established core business models outside of the trading of digital assets, allowing them to operate on lower margins or at a loss;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operations in certain jurisdictions with lower compliance costs and greater flexibility to explore new product offerings;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substantially greater financial, technical, and other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industry has been characterized by many rapid, significant, and disruptive products and services in recent years. These include dApps, DeFi, yield farming, NFTs, play-to-earn games, lending, staking, liquid staking and restaking, token wrapping, governance tokens, innovative programs to attract users such as transaction fee mining programs, initiatives to attract traders such as trading competitions, airdrops and giveaways, staking reward programs, Layer 2 blockchain networks, and novel cryptocurrency fundraising and distribution schemes, such as initial coin offerings. We expect new services and technologies to continue to emerge and evolve, which may be superior to, or render obsolete, the products and services that we currently provide. For example, disruptive technologies such as generative artificial intelligence ("AI") may fundamentally alter the use of our products or services in unpredictable ways. We cannot predict the effects of new services and technologies on our business. However, our ability to grow our user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users, generate revenue, or perform or integrate well with third-party applications and platforms. We may periodically reevaluate, scale back, or discontinue certain product or service offerings if they do not perform as anticipated or meet our commercial viability criteria, which could result in additional costs, operational disruption or reputational harm. In addition, our ability to adapt and compete with new products and services may be inhibited by regulatory requirements and general uncertainty in the law, including risks associated with pursuing or operating under new or evolving regulatory frameworks,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users,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users, and to attract new users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effectively manage our growth, scale our operations, or implement workforce changes as needed, our business and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2024 and 2025, we experienced a period of significant growth in terms of employee headcount, international footprint, and user growth. As our business changes, it becomes increasingly complex. To effectively manage and capitalize on our growth periods, we need to manage headcount, capital and processes efficiently while making investments such as expanding our information technology and financial, operating, and administrative systems and controls. Growth initiatives could strain our existing resources, and we could experience ongoing operating difficulties in managing our business as it expands across numerous jurisdictions, including difficulties in hiring, training, managing, and retaining a partially remote and evolving employee base. If we do not adapt or scale to meet these evolving challenges, our systems and processes may not scale effectively, we may experience erosion to our brand, the quality of our products and services may suffer, and our company culture may be harmed. The failure of our systems and processes could undermine our ability to provide accurate, timely, and reliable reports on our financial and operating results, and could impact the effectiveness of our internal controls over financial reporting. In addition, our systems and processes may not prevent or detect all errors, omissions, or fraud. Any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foregoing operational failures could lead to non-compliance with laws, loss of operating licenses or other authorizations, or loss of bank relationships that could substantially impair or even suspend company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Successful implementation of our growth strategy will also require significant expenditures before any substantial associated revenue is generated and we cannot guarantee that these increased investments will result in corresponding and offsetting revenue growth. It is difficult to evaluate our current business and future prospects, including our ability to plan for and model future growth. Our limited operating experience, combined with the rapidly evolving nature of the various markets in which we operate, substantial uncertainty concerning how these markets may develop, and other economic factors beyond our control, reduces our ability to accurately forecast quarterly or annual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realign our resources and talent to implement stage-appropriate business strategies, including furloughs, layoffs, and reductions in force. For example, in an effort to reduce operating expenses, we have had to strategically reduce our workforce in the past, including in 2024 and earlier in 2026 as part of the Restructuring. Any reduction in force may not achieve the anticipated benefits they were designed to achieve. In addition, in February 2026, we parted ways with our Chief Financial Officer, Chief Operating Officer, and Chief Legal Officer, and these leadership changes, together with our workforce reduction in connection with the Restructuring, may result in operational disruptions, reduce our ability to maintain and improve our systems and controls, and result in the loss of institutional knowledge, including through unplanned attrition. Reductions in force may also adversely affect employee morale and productivity, make it more difficult to hire and retain qualified personnel in the future, and harm our company culture. Any failure to effectively manage our growth or any scaling back of our operations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remain open to, and continue to consider, opportunistic acquisitions and investments, which could require significant management attention, disrupt our business and, if consummated, result in dilution to our stockholders and adversely affect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continue to routinely conduct discussions and evaluate opportunities for possible acquisitions, strategic investments, entries into new businesses, joint ventures, and other transactions. In the future, the pace and scale of our acquisitions may increase and may include larger acquisitions than we have done historically. Through our venture subsidiaries, Gemini Frontier Fund, LLC and Gemini Frontier Fund Cayman, LLC (collectively, “Gemini Frontier Fund”), we also invest in companies and technologies, many of which are private companies and technologies that are highly speculative in nature. In the future, we may not be able to find other suitable acquisition and investment candidates, and we may not be able to complete acquisitions or make investments on favorable terms, if at all. In some cases, the costs of such acquisitions may be substantial, and there is no assurance that we will receive a favorable return on investment for our acquisitions. We may in the future be required to write off acquisitions or investments.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our previous and future acquisitions and/or investments may not achieve our goals, and any future acquisitions and/or investments we complete could be viewed negatively by users or investors. In addition, if we fail to successfully close or integrate any acquisitions, or integrate the products or technologies associated with such acquisitions into our company, our net revenue and operating results could be adversely affected. Our ability to acquire and integrate companies, products, services, licenses, employees, or technologies in a successful manner is unproven. Any integration process may require significant time and resources, and we may not be able to manage the process successfully, including successfully securing regulatory approvals which may be required to consummate the transaction and to continue to operate the target firm’s business or products in a manner that is useful to us. We may not successfully evaluate or utilize the acquired products, services, technology, or personnel, or accurately forecast the financial impact of an acquisition transaction, including accounting charges. We may have to pay cash, incur debt, or issue equity securities to pay for any such acquisition, any of which could adversely affect our financial results. The sale of equity or issuance of convertible debt for financing could result in dilution to our stockholders, which, depending on the size of such sale, may be significant. The incurrence of indebtedness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 in increased fixed obligations and could also include covenants or other restrictions that would impede our ability to manage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and maintaining subsidiaries outside the United States exposes us to significant regulatory, operational, and compliance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subsidiaries in the United States and abroad. We have a limited operating history outside the United States, and our ability to manage our business and conduct our operations internationally requires considerable management attention and resources and is subject to particular challenges of supporting a growing business in an environment of diverse cultures, languages, customs, tax regimes, legal systems, alternate dispute systems, and regulatory systems. If we expand our business and user base outside the United States, we will be increasingly susceptible to risks associated with international operations. These risks and challenges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establishing and managing international operations and the increased operations, travel, infrastructure, including establishment of local user service operations, local infrastructure to manage supported cryptocurrency or other financial instruments and corresponding books and records, and legal and regulatory compliance costs associated with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need to vary pricing and margins to effectively compete in international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adapt and localize our products and services for specific countries, including offering services and support in local languages;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multiple, potentially conflicting and changing governmental laws and regulations across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U.S. and foreign laws designed to combat money laundering and the financing of terrorist activities, as well as economic and trade sanctions;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comply with a greater set of law enforcement inquiries;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the extraterritorial reach of any U.S. regulatory rules, including those imposed by the CFTC, SEC, the Financial Crimes Enforcement Network (“FinCEN”), or other U.S. based regulators;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anti-bribery laws, including compliance with the Foreign Corrupt Practices Act, the U.K. Bribery Act 2010, and other local anti-corruption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obtaining and maintaining required licensing from regulators in foreign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with companies that have greater experience in the local markets or pre-existing relationships with users in these markets or that are subject to less regulatory requirements in local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varying levels of payments and blockchain technology adoption and infrastructure, and increased network, payment processing, banking, and other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collecting in foreign currencies and associated foreign currency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holding, repatriating, and transferring funds held in offshore bank accounts;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adapting to foreign customary commercial practices, enforcing contracts and collecting accounts receivable, longer payment cycles and other collection difficulties;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on digital asset trading;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stringent local labor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adverse tax developments and consequences;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antitrust and competition regulations;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regional economic and political conditions.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have limited experience with most international regulatory environments and market practices and may not be able to penetrate or successfully operate in the markets we choose to enter. In addition, we may incur significant expenses as a result of our international expansion, if any, and we may not be successful. We may face limited brand recognition in certain parts of the world that could lead to non-acceptance or delayed acceptance of our products and services by users in new markets. We may also face challenges in complying with local laws and regulations. For example, we may be subject to regulatory frameworks that are evolving, have not undergone extensive rulemaking, and could result in uncertain outcomes for our users and/or our ability to offer competitive products or services in the broader digital asset industry. Our failure to successfully manage these risks could harm our international operations and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of our planned exit and wind down of operations in the United Kingdom, the European Union, and Australia, including our related reduction in force.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approved a plan to exit and wind down our operations in the United Kingdom, the European Union and other European jurisdictions, and Australia (the "Restructuring"), as part of a broader initiative to reduce operating expenses. In connection with the Restructuring, we announced a reduction in force, including employees in Europe, the United States, and Singapore.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implemented the Restructuring based on a number of assumptions, and there can be no assurance that the Restructuring will produce the intended results or that the expected cost savings will be realized in the expected amounts or within the expected timeframes. The Restructuring may take longer to be fully completed than anticipated, and actions taken in connection with the Restructuring may be more costly than we currently expect. In connection with the Restructuring, we have incurred and may continue to incur pre-tax restructuring and related charges, including employee-related costs (such as severance payments, notice pay where applicable, and employee benefits and related costs) and other exit and disposal costs (including facility exit costs, contract termination costs, and professional fees). The charges and expenditures we may continue to incur, are subject to a number of assumptions, and actual amounts may differ materially from our estimates. We may also incur charges and expenditures not currently contemplated due to unanticipated events that may occur in connection with the Restructuring.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Restructuring could also adversely affect our business, results of operations, and financial condition. The process of exiting and winding down operations may be disruptive, may divert management attention, and may adversely affect employee morale, productivity and retention, including among employees in jurisdictions in which we will continue to operate. If we do not execute the Restructuring effectively, or if the Restructuring results in greater disruption or costs than expected, our business may be adversely affected and we may not achieve profitability on our anticipated timeline, or at all.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risks related to our previously announced reduction in force, see “—</w:t>
      </w:r>
      <w:r>
        <w:rPr>
          <w:rFonts w:ascii="Times New Roman;serif" w:hAnsi="Times New Roman;serif"/>
          <w:b w:val="false"/>
          <w:i/>
          <w:color w:val="000000"/>
          <w:sz w:val="20"/>
        </w:rPr>
        <w:t>Risks Relating to our Business and Industry—If we fail to effectively manage our growth, scale our operations, or implement workforce changes as needed, our business and operating results could be adversely affected.</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strategy and focus on delivering high-quality, compliant, easy-to-use, and secure crypto-related financial services may not maximize short-term or medium-term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taken, and expect to continue to take, actions that we believe are in the best interests of our users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users through innovation and developing new industry-leading products and technologies. These decisions may not be consistent with the short-term and medium-term expectations of our stockholders and may not produce the long-term benefits that we expect, which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retain existing users or add new users, or if our users decrease their level of engagement with our products, services, and platform, our business, operating results, and financial condition may be materially and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retain existing users and attract new users to increase engagement with our products, services, and platform. To do so, we must continue to offer leading technologies and ensure that our products and services are secure, reliable, and engaging. We must also expand our products and services, and offer competitive prices in an increasingly crowded, price-sensitive, and competitive market. There is no assurance that we will be able to competitively innovate or offer better prices, that we will be able to retain our current users or attract new users, or keep our users engaged. Any number of factors can negatively affect user retention, growth, and engagement,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user demand shifting to other products and services, including those that we are unable to offer due to regulatory reasons;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introduce new and improved products and services that are favorably received;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support new and in-demand asset classes or if we elect to support certain asset classes with negative reputations;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user sentiment about the quality or usefulness of our products and services, including from concerns related to privacy, security, regulatory compliance, or other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our products and services that are mandated by legislation, regulatory authorities, or litigation in the United States or other jurisdictions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on our ability to access markets in certain jurisdictions due to legislation, regulatory requirements, or interventions by regulatory authorities;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user perception regarding the digital assets on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or other problems preventing us from delivering our products and services with the speed, functionality, security, and reliability that our users expect;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employee or service provider misconduct, or other unforeseen activities causing losses to us or our users, including losses to assets held by us on behalf of our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modifications to our pricing model or modifications by competitors to their pricing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provide adequate user service;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media reports or other negative publicity relating to our business, competitors, or the industry as a whole.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these factors have negatively affected, and may continue to negatively affect in the future, user retention, growth, and engagement to varying degrees. Any decrease in user retention, growth, or engagement could render our products and services less attractive to users and may have a material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retain existing users and attract new users, we must continue to enhance our technical infrastructure and other technology offerings to remain competitive and maintain a platform that has the required functionality, performance, capacity, security, and speed to attract and retain users. As a result, we have historically, and expect to continue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and to do so in a timely and cost-effective manner. If we fail to innovate and deliver products and services, or fail to do so quickly compared to our competitors, our business and our ability to successfully compete, to retain existing users, and to attract new users may be materially and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Disputes with our users 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have been subject to claims and disputes with our users with respect to our products and services, such as claims and disputes arising from allegedly fraudulent or unauthorized transactions and account takeovers. In the future, we are likely to face similar claims, and also possibly claims relating to the execution and settlement of digital asset trades, problems with deposits and withdrawals of digital assets, failures or malfunctions of our systems and services, or other issues relating to our products and services. The ingenuity of criminal fraudsters, combined with many users’ failure to adopt best practices including use of hardware security keys (e.g., Yubikeys), will likely cause our users to continue to be subject to account takeovers and other identity fraud issues. While we have taken measures to detect and reduce the risk of fraud, there is no guarantee that they will be successful and, in any case, to be effective, they require continuous improvement and optimization for continually evolving forms of fraud. There can be no guarantee that we will be successful in detecting and resolving these disputes or defending ourselves in any of these matters, and any failure may result in impaired relationships with our users, damage to our brand and reputation, and substantial fines and damages. In some cases, the measures we have implemented to detect and deter fraud have led to poor user experiences, including indefinite account inaccessibility for some of our users, which increases our user support costs and can compound damages. We could incur significant costs in compensating our users, such as if a transaction was unauthorized, erroneous, or fraudulent. We could also incur significant legal expenses resolving and defending claims, even those without merit. To the extent we are found to have failed to fulfill our regulatory obligations, we could also lose our authorizations or licenses or become subject to conditions that could make future operations more costly, impair our ability to grow, and adversely impact our operating results. We could be subject to investigation and enforcement action by a multitude of state, federal, and international consumer protection agencies.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Claims have been made in various litigations that the Electronic Fund Transfers Act (“EFTA”) applies to digital asset exchanges and custodians, such as us, and to transactions on such platforms. A case filed in the Superior Court for the District of Columbia sought a declaration from that court that EFTA applies to our business, as well as injunctive relief. Gemini is appealing a jurisdictional ruling in that case. The application or extension of EFTA to us and to transactions on platforms such as ours would significantly increase our litigation expenses, as well as user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fraud losses borne by us as a result of litigation, and would significantly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user agreements contain arbitration clauses with class action waivers. While these may limit our exposure to consumer class action litigation, and have been generally enforced in the U.S., there is a risk that some U.S. federal, state, or non-U.S. courts may decline to enforce our arbitration clauses or class action waivers, or that the law applicable to these provisions changes in an adverse manner. Legislative, administrative, or regulatory developments may directly or indirectly prohibit or limit the use of arbitration clauses or class action waiver provisions. Any prohibitions, limitations on, or discontinuation of the use of such arbitration or class action waiver provisions could subject us to additional lawsuits. There can be no assurance that we will be successful in enforcing these arbitration provisions, including the class action waiver provisions, in the future or in any given case. There have been instances in which litigants have responded to arbitration clauses paired with class action waivers by filing numerous arbitrations against one company. In some instances, this has caused the companies targeted by mass arbitrations to incur significant amounts in arbitration filing fees, in addition to other arbitration costs. If we were subject to mass arbitration as such, it would adversely affect our business, operating results, and financial condition. While we have taken steps to mitigate the risk of mass arbitrations, there is no guarantee that these steps have been or will be effective.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30, 2026, we are facing 376 arbitrations filed by Earn users seeking additional interest separate from their recovery in the Genesis Global Capital, LLC (“Genesis”) bankruptcy. Consistent with the rules of the arbitration provider, National Arbitration and Mediation (“NAM”), we have agreed to participate in 15 “bellwether” arbitrations and all other matters have been stayed pending the outcome of these arbitrations. Gemini has largely prevailed in the first five bellwether arbitrations that have been completed, final hearings have been held in five more where the Company is awaiting a decision, and the remaining five are expected to be tried before the end of 2026. While we do not expect to continue to face new arbitrations related to Earn, it is possible that we may face other arbitration matters and that the number of arbitrations we face will increase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develop, maintain, and enhance our brand and reputation, our business, operating results, and financial condition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brand and reputation are key assets and a competitive advantage. Maintaining, protecting, and enhancing our brand depends largely on the success of our marketing efforts, ability to provide consistent, high-quality, and secure products, services, features, and support, and our ability to successfully secure, maintain, and defend our rights to use the “Gemini” mark and other trademarks important to our brand. We believe that the importance of our brand will increase as competition further intensifies. Our brand and reputation could be harmed if we fail to achieve these objectives or if our public image were to be tarnished by negative publicity, unexpected events, or actions by third parties. Unfavorable publicity about us, including our products, services, technology, data privacy and cybersecurity practices, user service, personnel, and digital asset or digital asset platforms generally could diminish confidence in, and the use of, our products and services.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because we are a founder-led company, actions by, or unfavorable publicity about, Tyler and Cameron Winklevoss may adversely impact our brand and reputation. Their high visibility and role as vocal proponents of digital assets may also attract additional scrutiny from the public or regulatory bodies, irrespective of whether we or our co-founders have engaged in any unlawful conduct. Any deterioration in our reputation, negative publicity, or unauthorized use of our brand or marks, including as a result of social media reports, regardless of the accuracy of such publicity, could have a material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leveraging AI technologies in the development of certain of our products and processes. These technologies may present business, compliance, and reputational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use machine learning and AI, both proprietary and third-party technologies, to support our products, processes, and internal operations and have plans to expand our use of AI in the future. For example, we use AI models to assess the risk of ACH fraud and duplicate accounts, assist with identity verification, analyze customer feedback, and power customer service chatbots. These models are trained primarily on internal datasets, including user transaction history, account activity, and customer service interactions, and operate under data governance protocols that prohibit the use of sensitive or personally identifiable information in generative AI applications. We also use third-party generative AI tools under enterprise agreements for internal use cases such as resume screening and developer support. Recently, we have begun using AI agents in our software development processes, including to author and review code, subject to human review and approval before code is merged. AI-generated code may contain errors, security vulnerabilities, or other defects that are not identified through our review processes and could adversely affect our systems, products, or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of such technology remain ongoing and may be costly and yield inefficient results. As with many new and emerging technologies, AI presents significant potential for efficiencies but also risks and challenges that could adversely affect our business. If we fail to keep pace with rapidly evolving AI technological developments, our competitive position and business results may suffer. For example, if our competitors or other third parties incorporate AI-powered solutions into their products more quickly or more successfully than us, this could impair our ability to compete effectively. At the same time, use of AI has recently become the source of significant media attention and political debate. Although we attempt to mitigate this risk, content generated by AI systems may be offensive, illegal, or otherwise harmful. Further, such content may appear correct but is factually inaccurate, misleading or otherwise flawed, which could negatively impact our users, harm our reputation and business, and expose us to liability. AI and machine learning models require training on datasets prior to production use, and in some instances, AI algorithms or training methodologies may be overbroad, insufficient, or contain biased information. Ineffective or inadequate AI development or deployment practices by us or others could result in incidents that impair the acceptance of AI solutions or cause harm to individuals, users, or society, or result in our products and services not working as intended. Further, if third parties allege that our AI and machine learning models violate applicable law, or that our use of training data violates applicable law or third-party rights, we may be subject to legal liability or we may be forced to retrain our models on different datasets, which could result in unexpected costs, and adversely affect the availability of our offerings or their reliability, or otherwise make them less useful for their intended purpose. Human review of certain outputs may be required. Our implementation of AI systems could result in legal liability, regulatory action, brand, reputational, or competitive harm, or other adverse impacts.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regulatory framework for AI and similar technologies, and automated decision making, is changing rapidly and as the regulatory framework for machine learning technology, generative AI and automated decision making evolves, our business may be adversely affected. It is possible that new laws and regulations will be adopted in the United States and in non-U.S. jurisdictions, or that existing laws and regulations may be interpreted in ways that would affect our use and provision of AI-powered solutions. Because these technologies are themselves highly complex and rapidly developing, it is not possible to predict all of the legal or regulatory risks that may arise relating to our use of such technologies, and we may not be able to adequately anticipate or respond to these evolving laws and regulations. The cost to comply with such laws or regulations could be significant and would increase our operating expenses,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may arise as a result of any of the foregoing. As a result, the challenges presented with our use of AI could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AI-powered solutions has resulted in, and may in the future result in, data breaches and cybersecurity incidents that implicate the personal data of users of AI-powered solutions.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experience data breaches or other cybersecurity incidents in connection with our use of AI-powered solutions, it could adversely affect our reputation and expose us to legal liability or regulatory risk, including with respect to third-party intellectual property, privacy, publicity, contractual, or other rights. Additionally, if any of our employees, contractors, vendors, or service providers use any third-party AI-powered solutions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In addition, third-party AI technologies that we utilize in our business may include open source software. These AI technologies may incorporate data from third-party sources, including our users’ information they input into the AI tools, which may expose us to risks associated with data rights and protection.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AI-powered solutions in our business. Further, if we are unable to maintain rights to use these AI technologies on commercially reasonable terms, we may be forced to acquire or develop alternate AI technologies, which may limit or delay our ability to provide competitive offerings and may increase our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 the past, and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enter into partnerships, collaborations, joint ventures, or strategic alliances with third parties in connection with the development, operation, and enhancements to our platform and products and the provision of our services. Identifying strategic relationships with third parties, and negotiating and documenting relationships with them, may be time-consuming and complex, and may distract management. Moreover, we may be delayed, or not be successful, in achieving the objectives that we anticipate as a result of such strategic relationships.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users’ needs in a timely manner, efficiency and reliability of systems, certification costs to us or to our users, and licensure and compliance status. Despite this evaluation, third parties may still not meet our or our users’ needs, which may adversely affect our ability to deliver products and services to users, and which may adversely impact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such third-party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Banking relationships in the digital asset space have historically been difficult to obtain and maintain. Loss of a critical banking or insurance relationship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bank relationships to provide banking rails for our platform. In particular, users’ cash holdings on our platform are held with one or more of our multiple banking partners in omnibus accounts. Given the industry in which we operate, our banking partners may view us as a higher risk customer for purposes of their AML programs, notwithstanding the fact that the subsidiaries through which we operate hold all required licenses for their current activities. GTC and Gemini Moonbase, LLC (“Gemini Moonbase”) are registered money services businesses with FinCEN under the Bank Secrecy Act, as amended by the USA PATRIOT Act of 2001, and its implementing regulations (the “BSA”). In addition, we hold MTLs or the statutory equivalent in all U.S. states requiring such licenses for our operations. Further, GTC is a limited purpose trust company chartered by the NYDFS. Likewise, our foreign subsidiaries hold all required licenses, including from the Monetary Authority of Singapore.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face difficulty establishing or maintaining banking relationships due to instability in the global banking system,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widely-publicized negative events (such as FTX’s collapse) on our industry, implicit or explicit pressure from banking regulators and supervisors, or in the event of an adverse outcome of any litigation, financial institutions in the United States and globally may decide to not provide, or be prohibited from providing, account, custody, or other financial services to us or the digital asset industry generally.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users, and cause a general disruption in the digital asset industry, potentially reducing activity on our platform, which may adversely impact our business, operating results, and financial condition. For example, our business and operations were affected by the closures of Silvergate Capital Corp. and Signature Bank and the cessation of their real-time fiat currency payment networks in March 2023.</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on insurance carriers to insure user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rely on third-party service providers for certain aspects of our operations, and any interruptions in services provided by these third parties may impair our ability to support our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for various aspects of our business, including, for example, payment processors and banks; execution, clearing and custody services; cloud services and data centers for infrastructure, smart contract development, and website functionality; and external providers for user support, compliance, and product development. Many or all of these third-party service providers are critical to our operations. Because we rely on third parties to provide these services and to facilitate certain of our business activities like the Gemini Credit Card and Gemini Stocks, we face increased operational risks. We do not directly manage the operation of any of these third parties.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products and services, impose additional costs or requirements on us or our users, or give preferential treatment to competitors. There can be no assurance that third parties that provide services to us or to our users on our behalf will continue to do so on acceptable terms, or at all. If any third parties do not adequately or appropriately provide their services or perform their responsibilities to us or our users on our behalf, such as if third-party service providers close their data center facilities without 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user dissatisfaction, reputational damage, legal or regulatory proceedings, or other adverse consequences which could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suffer losses as a result of our staking activity and related user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supported digital assets enable holders to earn rewards through staking digital assets and participating in governance. We currently allow our users in some jurisdictions to stake certain digital assets that we hold on their behalf, and we anticipate our staking options to expand in the future. If we or any third-party service providers or smart contracts fail to perform as expected, or if we suffer cybersecurity attacks, experience security issues, or encounter other problems, our users’ assets may be irretrievably lost or withdrawals of staked assets could be delayed. Technical issues on our platform have interfered with the ability of our users to withdraw staked assets in the past. In addition, certain blockchain networks may impose penalties, or “slashing,” if the staking or other related activities are not performed appropriately. Relevant issues and activities include malicious activity on the network, double signing any transaction or extended downtimes on our platform, among others. If we or any of our third-party service providers are slashed by the underlying blockchain network, our users’ assets may be confiscated by the network, resulting in losses for which we could be deemed responsible. Any penalties or slashing events could damage our brand and reputation, cause us to suffer financial losses, discourage existing and future users from utilizing our products and services and may otherwise adversely impact our business. Relatedly, as staking features or protocols or additional supported assets are made available by our digital asset exchange, the various system components and supporting function systems may not integrate properly and the new product features may not be sufficient to meet the needs of our users. Moreover, as staking protocols evolve, the various system components may not keep pace with protocol expectations or specification. Such potential technical limitations may limit our ability to effectively respond to industry and regulatory changes, market demands or user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provide loans to our users, which would expose us to credit risks and may cause us to incur financial or reputational harm.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provide commercial loans to qualified users secured by their crypto or fiat asset holdings on our platform, which would expose us to the risk of our borrowers’ inability to repay such loans. In addition, such activity would result in us being subject to certain lending laws and regulations in the applicable jurisdiction and as a result we would be subject to additional regulatory scrutiny. Furthermore, we are exposed to the risk of our users’ inability to repay their Gemini Credit Card balances pursuant to WebBank’s extension of credit. In the future we may enter into credit arrangements with financial institutions to obtain more capital. Any termination or interruption in the financial institutions’ ability to lend to us could interrupt our ability to provide capital to qualified users to the extent we rely on such credit lines to continue to offer or to grow such products. Further, our credit approval process, pricing, loss forecasting, and scoring models may contain errors or may not adequately assess creditworthiness of our borrowers, or may be otherwise ineffective, resulting in incorrect approvals or denials of loans. It is also possible that loan applicants could provide false or incorrect information.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Borrower loan loss rates may be significantly affected by economic downturns or general economic conditions beyond our control and beyond the control of individual borrowers. In particular, loss rates on loans may increase due to factors such as prevailing market conditions in the digital asset industry, the price of bitcoin and other crypto assets, which have experienced significant fluctuations, the amount of liquidity in the markets, and other factors. Borrowers may seek protection under federal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our security interest in user collateral is not guaranteed under applicable state law or the Uniform Commercial Code and therefore we may be exposed to loss in the event of a user default, even if we appear to be secured against such default. If any of the foregoing events were to occur, our reputation and relationships with borrowers, and our financial results, could be harmed. We intend to continue to explore other products, models, and structures for offering financing, and other forms of credit and loan products. Some of those models or structures may require, or be deemed to require, additional data, procedures, partnerships, licenses, regulatory approvals, or capabilities that we have not yet obtained or developed.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Gemini Credit Card is subject to increasingly sophisticated frauds that can be difficult to detect, including income misrepresentation, identity fraud, fraudulent application activity, and credit bust-out schemes. Such fraud schemes could have a material adverse impact on our credit card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Gemini Credit Card business relies on the integrity of borrower information, including income, employment status and identity, to assess creditworthiness and manage risk across the credit card program. Misrepresentations of borrower income, employment, or identity, whether intentional or otherwise, could lead to extensions of credit to individuals or entities who lack the ability or intent to repay their debts. Additionally, fraudulent schemes, particularly, credit bust-out schemes where cardholders deliberately establish and build out credit histories with the intent of defaulting on large sums, which have been perpetrated against the Gemini Credit Card program in the past, pose a significant risk to the credit card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underwriting and fraud detection systems are designed to identify inaccuracies and fraudulent activity, but these systems have inherent limitations and may not fully prevent losses from sophisticated schemes or material misrepresentations. Fraudulent application activity, including coordinated or automated attempts to obtain approval for the Gemini Credit Card involving identity fraud or other false,or misleading applicant information, could also increase Card Sign-Ups and limit the usefulness of Card Sign-Ups as a key business metric. See “—</w:t>
      </w:r>
      <w:r>
        <w:rPr>
          <w:rFonts w:ascii="Times New Roman;serif" w:hAnsi="Times New Roman;serif"/>
          <w:b w:val="false"/>
          <w:i/>
          <w:color w:val="000000"/>
          <w:sz w:val="20"/>
        </w:rPr>
        <w:t>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 xml:space="preserve">” </w:t>
      </w:r>
      <w:r>
        <w:rPr>
          <w:rFonts w:ascii="Times New Roman;serif" w:hAnsi="Times New Roman;serif"/>
          <w:b w:val="false"/>
          <w:color w:val="000000"/>
          <w:sz w:val="20"/>
        </w:rPr>
        <w:t>If a significant number of accounts are impacted by misrepresentations of information or become involved in fraudulent schemes or activities, this could have a materially adverse impact on our reputation,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any failure to effectively identify and prevent misrepresentation and fraudulent activity may require us to invest additional resources into detection systems and fraud monitoring, further impacting our profitability. We have implemented measures that are intended to protect against credit card fraud losses, but no credit card anti-fraud measure can be perfectly effective. The Gemini Credit Card program has been the target of sophisticated fraud attacks in the past, including recently, resulting in financial losses. It is difficult to predict the extent to which the anti-fraud measures now in place, or that may be put in place in the future, will be effective in mitigating or preventing future fraud. If we are unable to sufficiently manage or mitigate these risks, we may face increased regulatory scrutiny, potential legal action, and reputational harm, which could have a material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Earlier this year, we identified a fraud event affecting a cohort of Gemini Credit Card accounts, and, as our investigation progressed, identified additional fraud patterns and affected accounts associated with the same origination cohort. Although we believe we have identified the affected cohort and our allowance for expected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losses reflects our current estimate of expected losses associated with this activity, our assessment is based on information currently available to us, and we may identify additional affected accounts or fraud patterns or otherwise determine that actual losses exceed our current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Additionally, the credit card business is highly regulated by multiple regulators. See “—</w:t>
      </w:r>
      <w:r>
        <w:rPr>
          <w:rFonts w:ascii="Times New Roman;serif" w:hAnsi="Times New Roman;serif"/>
          <w:b w:val="false"/>
          <w:i/>
          <w:color w:val="000000"/>
          <w:sz w:val="20"/>
        </w:rPr>
        <w:t>Risks Relating to our Business and Industry—The Gemini Credit Card is subject to various laws, regulations, and industry standards, all of which are subject to change and some of which are subject to uncertain interpretation.</w:t>
      </w:r>
      <w:r>
        <w:rPr>
          <w:color w:val="000000"/>
        </w:rPr>
        <w:t xml:space="preserve">” </w:t>
      </w:r>
      <w:r>
        <w:rPr>
          <w:rFonts w:ascii="Times New Roman;serif" w:hAnsi="Times New Roman;serif"/>
          <w:b w:val="false"/>
          <w:color w:val="000000"/>
          <w:sz w:val="20"/>
        </w:rPr>
        <w:t>Measures to control credit fraud can lead to regulatory investigations, regulatory enforcement actions, and civil lawsuits brought by the government or private litigants. Some of the anti-fraud measures implemented in connection with the Gemini Credit Card program have triggered regulatory scrutiny and might draw regulatory scrutiny in the future, including with respect to the Equal Credit Opportunity Act. Litigation or enforcement actions relating to the credit card program could also harm our reputation and jeopardize our relationship with WebBank, which issues the Gemini Credit Card and extends credit to users thereof. If our relationship with WebBank were to end, we would have to find a replacement issuing bank in order to maintain the Gemini Credit Card program. If we were not successful, our business, operating results, and financial condition would suffer. See “—</w:t>
      </w:r>
      <w:r>
        <w:rPr>
          <w:rFonts w:ascii="Times New Roman;serif" w:hAnsi="Times New Roman;serif"/>
          <w:b w:val="false"/>
          <w:i/>
          <w:color w:val="000000"/>
          <w:sz w:val="20"/>
        </w:rPr>
        <w:t>Risks Relating to Third Parties—We rely on agreements with third parties to offer certain of our product and service offerings. If our relationship with these third parties were to deteriorate or terminate, our ability to continue to offer such product or service offerings may be affected, which may adversely impact our business, results of operation, and financial condition.</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can be no assurance that our co-branded credit cards will be successful in generating a recurring stream of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we launched co-branded credit cards, including in conjunction with Ripple in August 2025. The launch with Ripple was a contributing factor in more than 30,000 new credit card sign-ups in the month of August 2025, a new monthly high that was more than twice the number of credit card sign-ups in the prior month. While these sign-ups reflected initial customer interest in the co-branded credit card, not all approved applicants activated or used their cards, and therefore sign-ups alone are not necessarily indicative of cardholder activity or future revenues. The ultimate performance of the Ripple and other co-branded credit cards will depend on factors such as the number of cards actually issued and remaining open, cardholder transaction volume, and the level of related receivables. As a result, there can be no assurance that the launch of our co-branded credit card with Ripple, or any other co-branded credit card, will be successful in generating a recurring stream of revenue for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hold certain investments in various crypto assets and may suffer losses.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hold investments in a number of crypto assets. These investments are subject to significant risks due to the inherent volatility associated with the digital asset industry. See “—</w:t>
      </w:r>
      <w:r>
        <w:rPr>
          <w:rFonts w:ascii="Times New Roman;serif" w:hAnsi="Times New Roman;serif"/>
          <w:b w:val="false"/>
          <w:i/>
          <w:color w:val="000000"/>
          <w:sz w:val="20"/>
        </w:rPr>
        <w:t>Risks Relating to our Business and Industry—Our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r>
        <w:rPr>
          <w:rFonts w:ascii="Times New Roman;serif" w:hAnsi="Times New Roman;serif"/>
          <w:b w:val="false"/>
          <w:color w:val="000000"/>
          <w:sz w:val="20"/>
        </w:rPr>
        <w:t>.” In addition, some of the crypto assets we own rely on DeFi protocols for their utility and value. These DeFi protocols are built on self-executing smart contracts designed to facilitate digital asset transactions without intermediaries. These investments typically earn interest based on borrower repayment rates and are generally accessible for withdrawal without restrictions. However, our investments in DeFi protocol tokens are subject to significant DeFi-specific risks, including, but not limited to, regulatory uncertainty, smart contract vulnerabilities, credit and collateral risks, and governance risks. If any of these risks materialize, the value and recoverability of our investments in DeFi protocol tokens could be materially and adversely affected, potentially resulting in financial losses and reputational harm.</w:t>
      </w:r>
    </w:p>
    <w:p>
      <w:pPr>
        <w:pStyle w:val="TextBody"/>
        <w:bidi w:val="0"/>
        <w:spacing w:before="0" w:after="0"/>
        <w:ind w:left="0" w:right="0" w:firstLine="72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can be no assurance that Gemini Predictions or Gemini Stocks will gain sufficient user adoption or market share, and there is no guarantee that it will generate meaningful revenue for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launched Gemini Predictions, a CFTC-regulated prediction market platform offered through our affiliate, Gemini Titan, which holds a DCM license. More recently, in July 2026, we launched Gemini Stocks, zero commission stock trading for certain customers in the United States through our affiliate, Gemini Galactic, which holds a broker-dealer license from FINRA and is registered as an introducing broker.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Predictions and Gemini Stocks are new product offerings, and there can be no assurance that either of these product offerings will develop into a successful or meaningful revenue-generating line of business. Prediction markets in particular are a nascent and highly competitive industry, and our ability to grow Gemini Predictions depends on our ability to attract and retain users and to gain market share. Gemini Predictions and/or Gemini Stocks may not achieve sufficient market acceptance, user adoption, or market share to generate meaningful revenue for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launch and continued development of Gemini Predictions and Gemini Stocks requires the investment of significant financial and management resources, including resources that could otherwise be used to develop, enhance, and operate other products and services. If Gemini Predictions and/or Gemini Stocks do not achieve market acceptance or generate meaningful revenue, we may not recover our investments and may reduce our investment in, modify, or discontinue Gemini Predictions and/or Gemini Stocks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each of Gemini Predictions and Gemini Stocks are subject to evolving legal and regulatory considerations. For more information on regulatory risks, see “—</w:t>
      </w:r>
      <w:r>
        <w:rPr>
          <w:rFonts w:ascii="Times New Roman;serif" w:hAnsi="Times New Roman;serif"/>
          <w:b w:val="false"/>
          <w:i/>
          <w:color w:val="000000"/>
          <w:sz w:val="20"/>
        </w:rPr>
        <w:t>Risks Relating to Regulatory and Legal Matters.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redemption risk and regulatory risk associated with stablecoins may adversely affect our business and financial position.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issue GUSD, a U.S. dollar-backed stablecoin, as well as support other stablecoins on our platform. Stablecoins have a unique risk associated with redemptions in which the stablecoin is exchanged for the underlying asset. The underlying assets are often invested into perceived “safe” investments such as U.S. treasuries. However, there is no guarantee that the underlying assets for all stablecoins are put into instruments that are as safe as they may be perceived to be. There is a risk that the assets may not be redeemable at the 1:1 redemption ratio (i.e., 1 USD for 1 stablecoin). If we or third-party stablecoin issuers experience redemption pressures or liquidity shortfalls, it could lead to market instability and reduced user confidence in stablecoins, including GUSD, which could negatively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Guiding and Establishing National Innovation for U.S. Stablecoins Act of 2025 (the "GENIUS Act"), which establishes a regulatory framework for payment stablecoins, was entered into law. It is not yet known how the GENIUS Act will be interpreted by courts. Compliance with the GENIUS Act and related implementing regulations may require us to modify our GUSD operations and incur additional compliance costs, and any failure to satisfy applicable requirements could restrict our ability to issue GUSD or subject us to regulatory action or penalties. Further, the sale and resale of such stablecoins may implicate a variety of banking, deposit, money transmission, prepaid access and stored value, AML,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Due to unfamiliarity and some negative publicity associated with digital asset platforms, existing and potential users may lose confidence in digital asset platforms.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Unlike securities or other traditional asset exchanges and financial services providers, digital asset platforms are relatively new and, in some jurisdictions, unregulated. While many prominent digital asset platforms provide the public with significant information regarding their ownership structure, management teams,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practices, and regulatory compliance, many digital asset platforms do not provide this information, which could result in users making uninformed investment decisions. As a result, the marketplace may lose confidence in digital asset platforms, including prominent platforms that handle a significant volume of digital asset trading. Additionally, digital assets may be more vulnerable than other types of assets to market or price manipulation and other fraudulent practices, including due to the lack of regulation globally. Any actual or perceived false trading in trading platforms or any other fraudulent or manipulative acts and practices, and any associated negative publicity, could adversely affect the value of digital assets and/or negatively affect the market perception of such digital assets and, by extension, other digital asset markets and platforms, including our platform. Larger platforms like ours are more appealing targets for hackers and malware. For example, in February 2025, the digital asset trading platform Bybit reportedly lost approximately $1.5 billion in Ether through a hacker-induced transfer from its cold wallet to a wallet address said to be associated with the Lazarus Group (a hacker group believed to be run by the government of North Korea). Such attacks could cause users to lose confidence in digital asset platforms.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numerous digital asset platforms have been sued, investigated, or shut down due to fraud, manipulative practices, business failure, and security breaches. In many of these instances, users of these platforms were not compensated or made whole for their losses. For example, in November 2022, FTX, a crypto exchange, filed for bankruptcy and a year later, in November 2023, FTX’s CEO was found guilty on fraud charges. On March 27, 2023, the CFTC announced the filing of a civil enforcement action in the U.S. District Court for the Northern District of Illinois charging, among others, various entities that operate the Binance platform and Binance’s co-founder and CEO with numerous violations of the U.S. Commodities Exchange Act of 1936 (the “CEA”) and CFTC regulations. Furthermore, on June 5, 2023, the SEC filed a civil complaint in the U.S. District Court for the District of Columbia against Binance and other related entities, as well as its co-founder and CEO. The complaint consisted of thirteen charges, including misleading investors and operating as an unregistered securities exchange, broker and clearing agency in violation of U.S. securities laws. While on May 29, 2025, the SEC dismissed its civil lawsuit, on November 21, 2023, Binance and its CEO pled guilty to federal criminal charges that Binance violated and caused a financial institution to violate the BSA, with Binance entering into a $4.3 billion settlement with the U.S. Justice Department, in addition to the confiscation of certain assets and its CEO resigning and accepting an individual fine of $50 million. Binance also settled with the CFTC on November 21,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outcome and results of these and other enforcement actions against digital asset platforms, to the extent not already resolved or dismissed, may have a significant negative impact on the adoption and use of digital assets both globally and within the United States and could negatively impact the liquidity, volatility, and value of such assets. In addition, there have been reports that a significant amount of digital asset trading volume on digital asset platforms is fabricated and false in nature. Such reports may indicate that the market for digital asset platform activities is significantly smaller than otherwise understood.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Negative perception, a lack of stability and standardized regulation in the digital asset industry, and the closure or temporary shutdown of digital asset platforms due to fraud, business failure, hackers or malware, or government mandated regulation, as well as any associated losses suffered by users, may reduce confidence in digital assets and result in greater volatility of the prices of digital assets, including significant depreciation in their value. Any of these events could have a material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users may deposit and withdraw digital assets into and from our platform, and errors which occur with respect to such deposits and withdrawals could result in loss of some or all of a user’s assets, user disputes, and other liabilities,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are controllable only by the possessor of both the unique blockchain address and controlling private key relating to the local or online digital wallet in which such digital asset is held. In order to deposit digital assets held by a user into our crypto exchange or custody platforms, a user must “sign” a transaction that consists of the private key of the wallet from which the user is transferring digital assets, direct the deposit using the blockchain address of a wallet that we control and which we provide to the user, and broadcast the deposit transaction onto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underlying blockchain network. Similarly, to withdraw digital assets from our digital asset exchanges or custody platforms, a user must provide us with the blockchain address of the wallet that the digital assets are to be transferred to, and a party with access to the private keys of a wallet holding the digital asset to be withdrawn is required to “sign” a transaction authorizing the transfer. In addition, some blockchain networks might require additional information to be provided in connection with any transfer of digital assets into or out of our platforms and wallets. A number of errors could occur in the process of depositing or withdrawing digital assets into or from our platform, such as typos, mistakes, or the failure to include the information required by the blockchain network. For instance, a user may incorrectly enter our wallet’s blockchain address or the desired recipient’s blockchain address when depositing and withdrawing from our platforms, respectively. Alternatively, a user may transfer digital assets to a wallet address that the user does not own, control, or hold the private keys to. In addition, each wallet address is only compatible with the underlying blockchain network on which it is created. For instance, a bitcoin wallet address can only be used to send and receive bitcoin. If any ether or other digital assets are sent to a bitcoin wallet address, or if any of the foregoing errors occur, such digital assets could be permanently and irretrievably lost with no means of recovery. Such incidents could result in user disputes, damage to our brand and reputation, legal claims against us, and financial liabilities, any of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temporary or permanent blockchain fork to any supported digital asset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blockchain protocols, including Bitcoin and Ethereum, are open source. Any user can download the software, modify it, and then propose that Bitcoin, Ethereum, or other blockchain protocols users and miners or validators adopt the modification. When a modification is introduced and a substantial majority of users and miners or validators consent to the modification, the change is implemented and the Bitcoin, Ethereum or other blockchain protocol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 with the other.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guarantee that we will support any fork or provide the benefit of any forked digital asset to our users. However, we have in the past and may in the future continue to be subject to claims by users arguing that they are entitled to receive certain forked or airdropped digital assets by virtue of digital assets that they hold with us. If any users succeed on a claim that they are entitled to receive the benefits of a forked or airdropped digital asset that we do not or are unable to support, we may be required to pay significant damages, fines, or other fees to compensate users for their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fork may also lead to a disruption of networks and our information technology systems, cybersecurity attacks, replay attacks, or security weaknesses, any of which can further lead to temporary or even permanent loss of our and our users’ assets. Such disruption and loss could cause us to be exposed to liability, even in circumstances where we have no intention of supporting an asset compromised by a fork.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users on our digital asset exchanges may suffer negative publicity, be exposed to security vulnerabilities, decline significantly in value, or lose liquidity over a short period of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 adverse changes to a smart contract, the design, functionality, features and value of the smart contract and its related digital assets may be harmed. In addition, digital assets held by the smart contract in reserves may be stolen, misused, burnt, locked up or otherwise become unusable or irrecoverable. These super-users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maintain adequate recordkeeping of electronic communications could expose the Company to regulatory risks, operational liabilities and reduce our ability to address legal 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our brand or harm to our clients. Finally, personal devices used for off-channel communications may lack the same security protocols as firm-managed systems. This increases the risk of data breaches, leaks, or unauthorized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miners or validators of any supported digital asset demand high transaction fees, our operating results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charge dynamic withdrawal fees when a user sends certain digital assets from their Gemini account to a non-Gemini account. We estimate the blockchain network fee based on the cost that we will incur to process the withdrawal transaction on the underlying blockchain network. In addition, we also pay blockchain network fees when we move digital assets for various operational purposes, such as when we transfer digital assets between our hot and cold wallets, for which we do not charge our users. However, fees can be unpredictable and, if miners or validators demand higher transaction fees for recording transactions in the underlying blockchain network, the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using the applicable digital asset may increase and the marketplace may be reluctant to accept such digital asset as a means of payment. Alternatively, miners or validators could collude in an anti-competitive manner to reject low transaction fees and force users to pay higher fees. While we do not expect such behavior, higher transaction confirmation fees may adversely affect our business. Although we generally attempt to pass blockchain network fees relating to user withdrawals through to our users, if we must pay higher blockchain network fees relating to user withdrawals, we could incur losses associated with the payment of blockchain network fees in excess of what we currently charge for our services, resulting in adverse impacts on our operating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developments regarding the tax treatment of digital assets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new and evolving nature of digital assets and the absence of comprehensive legal and tax guidance with respect to digital asset products and transactions, many significant aspects of the U.S. federal income tax treatment of transactions involving digital assets, such as the purchase and sale of digital assets on our platform, as well as the provision of staking rewards and other digital asset incentives and rewards products, are uncertain, and it is unclear whether, when, and what guidance may be issued in the future on the treatment of digital asset transactions for U.S. federal income tax purposes. Similar uncertainties may exist in the non-U.S. markets in which we operate or where our users are located, which could affect our non-U.S. user base.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2014, the IRS released Notice 2014-21 that sets forth the IRS’ position with respect to the treatment of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digital assets reflecting the IRS’s position on certain issues. More recently, the U.S. Treasury Department and the IRS promulgated regulations in 2024 relating to information reporting obligations of certain broker-dealers in respect of digital asset transactions and to the computation of gain or loss upon the sale or other taxable disposition of digital assets. Nevertheless, the IRS has not addressed many other significant aspects of the U.S. federal income tax treatment of digital assets and related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continues to be some uncertainty with respect to the timing, character, and amount of income inclusions related to various digital asset transactions, including lending and borrowing digital assets, staking, and other digital asset incentives and products that we offer. Although we believe our treatment of digital asset transactions for U.S. federal income tax purposes is consistent with the applicable regulations and published positions of the IRS and/or existing U.S. federal income tax principles, because of the rapidly evolving nature of digital asset innovations and the increasing variety and complexity of digital asset transactions and products, it is possible the IRS could disagree with our treatment of certain digital asset offerings for U.S. federal income tax purposes, which could adversely affect our users and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IRS will not change its positions with respect to the U.S. federal income tax treatment of digital assets or digital asset transactions or that a court would sustain the treatment set forth in the published positions of such tax authorities. Similarly, there can be no assurance that legislation would not be enacted that could modify the tax treatment of digital asset transactions in the United States or in any of the other jurisdictions where we operate. Any such developments could result in adverse tax consequences for holders of digital assets and could adversely affect digital asset markets and the value of digital assets. In addition, technological and operational developments related to digital assets may increase the uncertainty with respect to the treatment of digital assets for applicable tax purposes, which could impact our users and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tax information reporting obligations with respect to digital asset transactions are subject to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we are compliant with U.S. tax reporting and withholding requirements with respect to our users’ digital asset transactions, the exact scope and application of such requirements is not entirely clear for all of the digital asset transactions on our platform. In November 2021, the U.S. Congress passed the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and JOBS Act, which provides that brokers would be responsible for reporting to the IRS the transactions of their users in digital assets, including transfers to other exchanges or non-exchanges. In 2024, the U.S. Treasury Department and the IRS finalized regulations and issued other administrative guidance on tax information reporting for digital assets (the “Final 6045 Regulations”) and introduced new rules that are applicable to our tax reporting and withholding obligations with respect to our user transactions. The U.S. Treasury Department and the IRS issued additional administrative guidance in 2025 that extends transitional relief provided by the 2024 administrative 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expect to achieve the necessary milestones required to comply with U.S. tax reporting and withholding requirements set forth in the Final 6045 Regulations with respect to our users’ digital asset transactions, including the collection of IRS Forms W-9 and W-8 from our users, withholding obligations (effective beginning January 1, 2026), and IRS Form 1099-DA, Digital Asset Proceeds From Broker Transactions reporting obligations, there is a risk that we may not have proper processes and procedures necessary to comply with the Final 6045 Regulations or may not build systems within the required timelines to ensure compliance for certain users or transactions. If the IRS determines that we are not in compliance with our tax reporting, we may face penalties, including liability for backup withholding tax that is not properly withheld (beginning in 2027), interest charges, and fines, which could adversely affect our financial position. The IRS has issued a safe harbor for brokers who make a “good faith effort” to file the appropriate information returns and furnish associated payment statements accurately during the transitional relief period. The Final 6045 Regulations will require us to invest substantially in new compliance processes and procedures, which could also adversely affect our financial position. Further, the IRS has announced it intends to issue additional guidance, including reporting for assets transferred between wallets or exchanges, as well as implement the Crypto-Asset Reporting Framework proposed by the Organization for Economic Cooperation and Development (“OECD”), which may create additional compliance obligations that could adversely affect our financial position or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Relatedly, new rules for reporting digital assets, such as the global Common Reporting Standard and the OECD’s Crypto-Asset Reporting Framework, could be implemented in a manner that affects our international operations by requiring us to invest in new onboarding and reporting infrastructure. These new rules may also impose potential liabilities or disclosure requirements for prior user arrangements and new rules that affect how we onboard our users and report their transactions to the applicable taxing authorities. Any actual or perceived failure by us to comply with the above or any other emerging tax regulations that apply to our operations could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on March 31, 2022, the staff of the SEC issued SAB 121, which represented a significant change regarding how a company safeguarding digital assets held for its platform users reported such digital assets on its balance sheet. On January 23, 2025, the staff of the SEC issued SAB 122, which rescinded such interpretive guidance. Additionally,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domestic U.S. exchanges, GTC and Gemini Moonbase, are subject to tangible net worth requirements in some states. While GTC has historically maintained a net worth in excess of the various thresholds, there have been instances in which it has fallen short of the tangible net worth requirements. This is due to the fact that a significant amount of the bitcoin held by GTC for its own account is deducted when calculating the tangible net worth requirement as a result of tangible net worth being computed in accordance with GAAP, which, presently, categorizes digital assets as intangible assets. Although GTC is presently in compliance with net tangible worth requirements, we cannot rule out the possibility of investigations or regulatory enforcement actions with respect to these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Regulatory and 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digital asset industry is still novel. As a result, many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various U.S. federal, state, and local and foreign governmental organizations, consumer agencies and public advocacy groups have been examining the operations of blockchain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including traditional financial services,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space have engaged policymakers directly and with the help of external advisors and lobbyists. New laws and regulations may be proposed and adopted in the United States and internationally, or existing laws and regulations may be interpreted in new ways, that harm the digital asset space or digital asset platforms, which could adversely impact our business. Additionally, our political activities to further our mission may be perceived unfavorably by investors and the public and have an adverse impact on our brand and reputation.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U.S. presidential election and change of administration has had a significant impact on the digital asset industry and our business in the United States, which will continue to depend in part upon the approach the administration continues to take with respect to the industry. For example, in January 2025, President Trump signed an Executive Order titled “Strengthening American Leadership in Digital Financial Technology,” which, among other things, stated that the current administration’s policy will be “to support the responsible growth and use of digital assets, blockchain technology, and related technologies across all sectors of the economy” by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clarity and certainty” regarding digital assets and blockchain technologies. The Executive Order also established an interagency working group that is tasked with “proposing a Federal regulatory framework governing 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 In particular, the report recommended that Congress enact legislation regarding self custody of digital assets, clarifying the applicability of Bank Secrecy Act obligations with respect to digital asset service providers, granting the CFTC authority to regulate spot markets in non-security digital assets, prohibiting the adoption of a central bank digital currency, and clarifying tax laws as relevant to digital assets. In addition, the report recommended that agencies reevaluate existing guidance on digital asset activities, use existing authorities to enable the trading of digital assets at the federal level, embrace DeFi, launch or relaunch crypto innovation efforts, and promote U.S. private sector leadership in the responsible development of cross-border payments and financial markets technologies, among others. In addition, more recently, the GENIUS Act, providing a regulatory framework for stablecoins, was signed into law and market structure legislation—the Digital Asset Market Clarity Act of 2025 (the “CLARITY Act”)—was passed by the U.S. House of Representatives.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although the current Chair of the SEC has thus far taken a different approach to digital assets than was undertaken by the previous Chair, including with respect to rulemaking, formal and informal guidance, and enforcement decisions, there can be no assurance that the current Chair or the current administration will ultimately continue to enact rules or regulations that take a more favorable or significantly different approach toward the digital asset industry than the previous administration. For example, in January 2025, the SEC announced the launch of a new crypto task force “dedicated to developing a comprehensive and clear regulatory framework for crypto assets,” which “will collaborate with Commission staff and the public to set the SEC on a sensible regulatory path” regarding digital assets, including to “draw clear regulatory lines, provide realistic paths to registration, craft sensible disclosure frameworks, and deploy enforcement resources more judiciously.” More recently, in July 2025, Chairman Atkins announced “Project Crypto,” a Commission-wide initiative to modernize securities rules for digital assets, reshore innovation in the United States, and implement the recommendations of the report by the interagency working group tasked with “proposing a Federal regulatory framework governing the issuance and operation of digital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It may be illegal now, or in the future, to acquire, own, hold, sell, or use bitcoin or other digital assets, participate in blockchains or utilize similar digital assets in one or more countries, which would adversely affect our business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governments around the world have reacted differently to digital assets; certain governments have deemed them illegal, and others have allowed their use and trade without restriction, while in some jurisdictions, such as in the United States, subject to evolving regulatory requirements. As digital assets have grown in popularity and in market size, U.S. Congress, U.S. financial regulators, and certain U.S. agencies have increasingly begun to examine digital assets in more detail.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countries, including China, which have taken harsh regulatory action in the past, may take regulatory actions in the future that could severely restrict the right to acquire, own, hold, sell, or use these digital assets or to exchange them for fiat currency. In many countries, such as China, it is illegal to accept payment in cryptocurrencies for consumer transactions and banking institutions are barred from accepting deposits of digital assets. Such restrictions may adversely affect us as the large-scale use of digital assets as a means of exchange is presently confined to certain regions globally.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sold as a security or securities transaction, we may be subject to regulatory scrutiny, inquiries, investigations, fines, and other penalties, which may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jurisdictions have taken a broad-based approach to classifying digital assets transactions, products, and services as securities or subject to their securities laws, while other jurisdictions have adopted a narrower approach. As a result, certain digital asset transactions, products or services may be deemed to be a security or securities transaction under the laws of some jurisdictions but not others. Determining whether any given digital asset is offered and sold in a securities transaction is a highly complex, fact-driven analysis, the outcome of which is difficult to predict and may evolve over time based on changes in a particular crypto asset and the way in which it is offered and sold. Different parties may reach different conclusions about the outcome of this analysis based on the same facts. For example, the SEC and its staff have previously taken the position that transactions involving many digital assets fall within the definition of a security under the U.S. federal securities laws. However, SEC officials have also indicated or implied through various mediums that it does not consider transactions in bitcoin or ether to be offered and sold in securities transactions. More recently, the SEC’s Division of Corporation Finance has published statements that it does not consider, under certain circumstances, “meme coins” or some stablecoins to be securities. However, such statements may be withdrawn at any time without notice and comment by the Division of Corporation Finance at the SEC or the SEC itself. In addition, the current Chair of the SEC has stated he believes most digital assets are not securities; however, this is not an official statement by the SEC, may not represent the agency’s views, and does not bind it. As a result, there is little certainty under applicable legal tests whether certain digital assets are or are not offered and sold in securities transactions, and any such determination has wide-ranging implications for the regulatory obligations that flow from the offer, sale, trading, and clearing of such assets, including licensing, registration, and qualification requirements. On March 17, 2026, the SEC issued an interpretation providing a token taxonomy under which certain categories of digital assets are not securities and addressing how a “non-security crypto asset” may become subject to, and cease to be subject to, an investment contract.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policies and procedures to analyze whether transactions in each digital asset on our platform, as well as our products and services, could be deemed to be a security under applicable laws. Although we perform ongoing monitoring of digital assets supported on our platform and we maintain a listing and delisting policy, our policies and procedures do not constitute a legal standard, but rather represent our company-developed assessment regarding the likelihood that a particular digital asset transaction, product, or service should be deemed a security or securities transaction under applicable laws. In the event that we determine that a supported digital asset has been ultimately determined to be a security or that the continued offering or sale of a digital asset presents a significant risk to us or our users, we aim to take prompt action to discontinue the trading of the digital asset. Regardless of our conclusions or actions, we could be subject to legal or regulatory action in the event the SEC, state regulators, a foreign regulatory authority, or a court were to determine that a digital asset transaction, product, or service currently or previously offered, sold, or traded on our platform is a securities transaction under applicable laws. In addition, such policies and procedures may not be sufficient to mitigate and address all risks. Excluding Gemini Galactic, , our platform is not otherwise registered or licensed with regulators as a broker-dealer, national securities exchange, or alternative trading system (“ATS”) (or foreign equivalents), and we do not seek to register or rely on an exemption from such registration or license to allow the offer and sale of securities on our platform. We only permit trading on our platform of those digital assets for which we determine there are reasonably strong arguments to conclude that the digital asset is not a security. We believe that our process reflects a comprehensive and thoughtful analysis and is reasonably designed to facilitate consistent application of available legal guidance to digital assets to facilitate informed risk-based business judgment. However, we recognize that the application of securities laws to the specific facts and circumstances of digital assets may be complex and subject to change, and that a determination to offer a digital asset does not guarantee any conclusion under applicable securities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determination by a regulatory authority or court that transactions in a digital asset that we currently support on our platform constitute securities transactions may also result in us determining that it is advisable to remove such digital asset from our platform, as well as digital assets that have similar characteristics to such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 that was determined to be a security. In addition, we could be subject to judicial or administrative sanctions or other regulatory enforcement action for acting as a broker, dealer, or national securities exchange without appropriate registration. Any resolution of an SEC investigation of us or any similar regulatory enforcement action could result in injunctions, cease and desist orders, undertakings requiring the retention of compliance consultants or monitors, as well as civil monetary penalties, fines, and disgorgement, criminal liability, and reputational harm. Our employees, officers, and directors who are parties to any regulatory enforcement action can also be subject to officer and director bars, and associational bars and suspensions, all of which would limit or prohibit them from providing services to us. Users that traded a supported digital asset on our platform and suffered trading losses could also seek to rescind a trade on our platform as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Furthermore, if we remove any digital assets from trading on our platform, our decision may be unpopular with users and may reduce our ability to attract and retain users, especially if such digital assets remain traded on unregulated exchanges, which includes many of our competitors. Finally, in connection with any regulatory enforcement action, the SEC also has statutory authority to censure, place limitations on the activities, functions or operations of, or suspend or revoke the registration of, our broker-dealer affiliate. Any remedies and/or the imposition of injunctions, cease and desist orders, or undertakings requiring the retention of compliance consultants or monitors, could require us to limit or cease trading activities in digital assets and other financial instruments in the United States, or cease U.S. operations entirely.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is significant uncertainty regarding the status of staking activities under the U.S. federal securities laws, state law, and non-U.S.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significant regulatory uncertainty regarding the status of staking activities under the U.S. federal securities laws, state law, and non-U.S. law. In particular, staking activities, including our staking program, could be deemed to involve the offer and sale of securities and other regulated financial instruments to our users participating in the staking program. Various regulators have taken the position that certain staking programs are unlawful if not conducted as a compliant securities offering and other regulators may adopt similar positions with respect to their jurisdictions’ securities laws. In addition, we could determine in the future to terminate our staking program with respect to particular digital assets or in a particular jurisdiction if there is a heightened risk of being deemed to be a securities transaction. While we have implemented policies and procedures designed to help ensure that our staking feature remains compliant with existing and new laws and regulations, and while the staff of the SEC’s Division of Corporation Finance has previously stated that certain staking activities do not involve the offer and sale of securities, the statement is not binding on the SEC, potential private plaintiffs, or state regulators, and there can be no assurance that applicable regulatory authorities will agree with our assessment of applicable securities laws, or that we and our employees, contractors, and agents will not violate or otherwise fail to comply with such existing laws and regulations. To the extent that we or our employees, contractors, or agents are deemed or alleged to have violated or failed to comply with any laws or regulations applicable to staking, including related interpretations, orders, determinations, directives, or guidance, we or such persons could be subject to a litany of civil, criminal, and administrative fines, penalties, orders, and actions, including being required to modify, suspend, or terminate the offering of our staking programs. Any of the foregoing would materially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tokenization of securities could introduce substantial risks and uncertainties.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wind down of operations in the region in February 2026 as part of the Restructuring, we had made tokenized securities (“Gemini Tokenized Stocks”) available to Gemini users in the E.U. Gemini Tokenized Stocks were tokenized tracker certificates that reflect the price of an underlying stock and allow the investor to gain exposure to the underlying asset via an onchain financial instrument. These products are designed to provide economic exposure to the price performance of certain stocks, without conveying legal ownership or shareholder rights, such as voting rights, related to such underlying stocks. Gemini Tokenized Stocks were issued by Dinari,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were offered to eligible E.U. users by our affiliate, Gemini Intergalactic EU Artemis, Ltd. (“Gemini E.U.”), which holds a MiFID license issued by the Malta Financial Services Authority. In February 2026, we announced a wind-down of our operations in the E.U. and we accordingly no longer offer this product.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for tokenized securities is nascent, and there can be no assurance that a liquid or orderly market for tokenized securities will develop or be sustained. Blockchain-based mechanisms, including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forms of the same security—especially where arbitrage is limited by operational or regulatory constraints. To the extent we seek to tokenize our Class A common stock as a tokenized security in the future, this could introduce novel risks and operational complexities that could adversely impact the trading dynamics, price discovery, and liquidity of both the tokenized security and our actual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market intermediaries may face unclear or evolving obligations when interacting with tokenized securities, and the application of U.S. federal securities laws and other regulations to the trading of tokenized securities remains uncertain. For example, in July 2025, the SEC Commissioner issued a statement noting that “tokenized securities are still securities,” and therefore transactions involving tokenized securities are subject to federal securities laws. More recently, in March 2026, the SEC Chairman made a statement that “only one crypto asset class remains subject to the securities laws: digital securities, namely traditional securities that are tokenized.” If offered and sold within the United States, which they currently are not, Gemini Tokenized Stocks might also be deemed to be security-based swaps. Advisory committees and staff of the CFTC have also discussed exploring a potential regulatory framework for tokenization of assets, including tokenized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approaches outside of the U.S. are similarly in the early stages and vary by jurisdiction. This may prevent or discourage market intermediaries from holding, transacting, or facilitating transactions in tokenized securities, further limiting liquidity. Reduced liquidity in tokenized securities, whether due to general investor unfamiliarity, uncertain demand, operational friction, inefficient linkages between tokenized and traditional markets, or otherwise, could result in lower trading prices for such products. In addition, if regulatory authorities determine that the platforms, mechanisms, or participants involved in the secondary trading of tokenized securities do not comply with applicable law, we or such intermediaries could face enforcement actions or fines, or be required to unwind or restructure aspects of the project. These risks could lead to diminished investor confidence, reduced participation in the trading of tokenized securities, and corresponding negative effects on trading price, volatility and/or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while our advertisements for and other publicity about Gemini Tokenized Stocks generally clearly stated that these products were only available to Gemini users in the E.U., it is possible that the SEC or a private plaintiff could seek to establish that such publicity involved offers of Gemini Tokenized Stocks to U.S. residents inconsistent with the registration provisions of the securities laws. Although we believe we would have substantial defenses to any such allegations, they could, if proven, subject us to liability under U.S. law.</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Tokenized securities are also subject to the broader risks associated with digital assets, including cybersecurity, technological failures, and operational risks, which could affect our reputation, financial condition, and operating results. See “—</w:t>
      </w:r>
      <w:r>
        <w:rPr>
          <w:rFonts w:ascii="Times New Roman;serif" w:hAnsi="Times New Roman;serif"/>
          <w:b w:val="false"/>
          <w:i/>
          <w:color w:val="000000"/>
          <w:sz w:val="20"/>
        </w:rPr>
        <w:t>Risks Relating to our Business and Industry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The applicability of certain preexisting laws and regulations to our prediction markets business is uncertain and regulatory or enforcement action a</w:t>
      </w:r>
      <w:r>
        <w:rPr>
          <w:rFonts w:ascii="Times New Roman;serif" w:hAnsi="Times New Roman;serif"/>
          <w:b w:val="false"/>
          <w:i/>
          <w:color w:val="000000"/>
          <w:sz w:val="20"/>
        </w:rPr>
        <w:t>g</w:t>
      </w:r>
      <w:r>
        <w:rPr>
          <w:rFonts w:ascii="Times New Roman;serif" w:hAnsi="Times New Roman;serif"/>
          <w:b/>
          <w:i/>
          <w:color w:val="000000"/>
          <w:sz w:val="20"/>
        </w:rPr>
        <w:t>ainst Gemini Predictions may adversely affect our prediction markets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 of Gemini Predictions may expose us to legal, regulatory, and other risks. As the prediction market industry is relatively nascent, it is difficult to predict how the legal and regulatory framework around prediction markets will develop and how such developments will impact our business and Gemini Predictions.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particular, although Gemini Predictions is operated through Gemini Titan, an affiliate that has been licensed by the CFTC as a DCM, and Gemini Olympus, LLC, an affiliate that has been licensed by the CFTC as a DCO, regulators or courts could determine that particular products, market types, or features of Gemini Predictions are impermissible, must be modified, or must be discontinued.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Prediction markets, including the manner in which they are marketed and promoted, may also attract scrutiny from regulators, legislators and other governmental authorities, which could result in investigations or inquiries, new or additional legal or regulatory requirements, restrictions on our marketing practices or other changes to how we offer or promote Gemini Predictions.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For example, the CFTC has pursued, and may continue to pursue, rulemaking and other regulatory actions that could limit the types of event contracts that may be offered by CFTC-regulated entities or impose additional requirements or restrictions on how such products are designed and offered. If the CFTC’s approach evolves in a way that restricts certain categories of contracts (including sports-related contracts) or requires different product features or controls, we could be required to change, limit, or discontinue aspects of Gemini Predictions. In addition, regulators and courts may take different views about the interaction between federal commodities regulation and state gambling, wagering, or gaming laws. State regulators may seek to restrict the availability of certain prediction market products notwithstanding federal oversight, which could require us to geo-fence, modify, or suspend certain markets or limit access in some jurisdictions. A fragmented, state-by-state regulatory approach could require us to implement differing controls, restrict availability in certain jurisdictions, which may ultimately reduce adoption and revenue from Gemini Predictions. For example, in December 2025, the Connecticut Department of Consumer Protection issued cease-and-desist orders to multiple platforms, directing them to stop making available “sports event contracts” and other alleged unlicensed online gambling to Connecticut residents. The cease-and-desist orders are currently not being enforced pending multiple litigations on the subject. Additionally, in March 2026, Arizona brought criminal charges against Kalshi alleging that it was operating an illegal gambling business in violation of Arizona law by offering certain event contracts to Arizona residents and Nevada won a temporary restraining order to prevent Kalshi from offering certain event-based contracts in Nevada. These actions are currently being appealed and are pending a decision from the United States Court of Appeals for the Ninth Circuit.</w:t>
      </w:r>
      <w:r>
        <w:rPr>
          <w:color w:val="00808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2026, the New York Attorney General filed a petition against Gemini Titan alleging that Gemini Titan was operating an unlicensed gambling business and offering unauthorized sports wagering in New York through Gemini Predictions, and seeking injunctive relief, restitution, disgorgement, damages and civil penalties. If that petition or similar state actions or proceedings are successful, we may be required to restrict, modify, suspend or discontinue Gemini Predictions in certain jurisdictions, and we could incur substantial legal, compliance and remediation costs and suffer reputational harm, any of which could materially adversely affect our business, financial condition, results of operations and growth prospects.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Certain transactions in digital assets on our digital asset exchange platform may constitute “retail commodity transactions” subject to regulation by the CFTC as futures contracts. If transactions in digital assets on our platform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xml:space="preserve">    Any transaction in a commodity, including digital assets deemed to be commodities, entered into with or offered to retail investors using leverage, margin, or other financing arrangements (a “retail commodity transaction”) is subject to CFTC regulation as a futures contract unless such transaction results in actual delivery within 28 days. The meaning of “actual delivery” has been the subject of commentary and litigation, and in 2020, the CFTC adopted interpretive guidance addressing the “actual delivery” of a digital asset, which the CFTC later withdrew in December 2025. To the extent that any leveraged, margined, or financed transactions in digital assets on our platform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registrations. The CFTC has previously brought enforcement actions against entities engaged in retail commodity transactions without appropriate registrations, as well as recent enforcement settled orders against developers of decentralized platforms.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Particular digital assets or transactions therein on our exchange platform could be deemed “commodity interests” (e.g., futures, options, swaps) or security-based swaps subject to regulation by the CFTC or SEC, respectively. If a digital asset or digital asset transaction on our exchange platform is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Commodity interests, as such term is defined by the CEA and CFTC rules and regulations, are subject to more extensive supervisory oversight by the CFTC, including registrations of entities engaged in, and platforms offering, commodity interest transactions. This CFTC authority extends to digital asset futures contracts and swaps, including transactions that are based on current and future prices of digital assets and indices of digital assets. To the extent that a transaction in digital assets on our platform is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CFTC registrations as an exchange (for example, as a swaps execution facility for trading swaps) or as a registered intermediary (for example, as a futures commission merchant or introducing broker). Such actions could result in injunctions, cease and desist orders, as well as civil monetary penalties, fines, and disgorgement, as well as reputational harm. The CFTC has previously brought enforcement actions against entities engaged in digital asset activities for failure to obtain appropriate exchange, execution facility, and intermediary registrations.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CFTC and the SEC have jointly adopted regulations defining “security-based swaps,” which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transaction in digital assets on our platform falls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 security-based swaps execution facility) or as a registered intermediary (for example, as a security-based swap dealer or broker). This could result in injunctions, cease and desist orders, as well as civil monetary penalties, fines, and disgorgement, as well as reputational harm.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Gemini Credit Card is subject to various laws, regulations, and industry standards, all of which are subject to change and some of which are subject to uncertain interpretation.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Gemini Credit Card is subject to numerous laws, regulations, and industry standards. Applicable consumer protection laws and regulations include federal, state, and local laws relating to unfair, deceptive, and abusive acts and practices, disclosures, fair lending and anti-discrimination, marketing, solicitation, and cancellation practices, fees and interest rates, credit reports and credit bureau reporting, electronic fund transfers, service member protections, collections activity, data privacy, open banking and access to customer data, AML, and other topics. For example, the Credit Card Accountability, Responsibility, and Disclosure Act of 2009 (the “CARD Act”) imposes strict consumer protection rules, including limitations on interest rate increases, fee caps, and transparency requirements, to which the credit card product must also adhere. Failure to comply with the CARD Act can result in substantial penalties, restrictions, and other sanctions and relief that could affect our ability to provide access to competitive credit card terms and impact our revenues and user retention. Compliance with CARD Act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adds further complexity and operational costs, and evolving regulatory guidance or enforcement actions may increase these burdens over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credit card product is subject to industry standards, including the Payment Card Industry Data Security Standard (“PCI DSS”), which is a set of security standards created to ensure that all companies that process, store, or transmit credit card information maintain a secure environment. Compliance with PCI DSS is mandatory for companies that handle credit card transactions and requires adherence to stringent controls and procedures to safeguard sensitive cardholder data. Failure to meet PCI DSS requirements can lead to substantial fines, increased transaction fees, or the revocation of our ability to process credit card transactions, which could materially impact our business operations. Moreover, maintaining PCI DSS compliance is complex, costly, and requires regular audits, updates to our systems, and continuous monitoring of our security practices.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Changes in these laws, regulations, or standards, or to the prevailing interpretation thereof, may make complying with them even more challenging. Any failure to comply with the CARD Act, PCI DSS, or other applicable laws, regulations or industry standards, or the failure to accurately interpret how new laws, regulations, or industry standards apply to our business could result in costly legal challenges or expose us to regulatory enforcement actions, substantial fines, and reputational harm, which could negatively impact our business, operating results, and financial position. Such failure may also cause WebBank to terminate our relationship, subject us to an indemnity claim by WebBank, or otherwise have a material adverse impact on our credit card business. For more information with respect to risks related to our agreement with WebBank, see “—</w:t>
      </w:r>
      <w:r>
        <w:rPr>
          <w:rFonts w:ascii="Times New Roman;serif" w:hAnsi="Times New Roman;serif"/>
          <w:b w:val="false"/>
          <w:i/>
          <w:color w:val="000000"/>
          <w:sz w:val="20"/>
        </w:rPr>
        <w:t>Risks Relating to Third Parties—We rely on agreements with third parties to offer certain of our product and service offerings. If our relationship with these third parties were to deteriorate or terminate, our ability to continue to offer such product or service offerings may be affected, which may adversely impact our business, results of operation, and financial condition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Moreover, the crypto rewards provided in connection with the Gemini Credit Card are custodied and serviced by our wholly-owned subsidiaries, GTC and Gemini Constellation, LLC, respectively. Changes to laws and regulations applicable to GTC, and to the digital asset space generally, may materially and adversely impact our credit card business, including by affecting the manner in which Gemini Credit Card holders receive, maintain, and use their crypto rewards. For more information on the risks associated with changing laws and regulations, see “—</w:t>
      </w:r>
      <w:r>
        <w:rPr>
          <w:rFonts w:ascii="Times New Roman;serif" w:hAnsi="Times New Roman;serif"/>
          <w:b w:val="false"/>
          <w:i/>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continuously monitoring the state of regulation in each jurisdiction in which we operate. We cannot guarantee that we will be able to comply with all new and existing regulations being implemented with respect to digital asset service providers.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extensive laws, rules, regulations, policies, orders, determinations, directives, treaties, and legal and regulatory interpretations and guidance in the markets in which we operate, including those governing financial services and banking, federal government contractors, trust companies, securities, derivative transactions and markets, broker-dealers and ATS, commodities, credit, digital asset custody, exchange, and transfer, cross-border and domestic money and digital asset transmission, commercial lending, usury, foreign currency exchange, privacy, data governance, data protection, cybersecurity, fraud detection, payment services (including payment processing and settlement services), consumer protection, escheatment, antitrust and competition, bankruptcy, tax, anti-bribery, economic and trade sanctions, AML, and counter-terrorist financing. Many of these legal and regulatory regimes were adopted prior to the advent of the internet, mobile technologies, digital assets, blockchain technology, generative AI, and related technologies. As a result, some applicable laws and regulations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contemplate or address unique issues associated with the digital asset industry,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digital assets requires us to exercise our judgment as to whether certain laws, rules, and regulations apply to us, and it is possible that governmental bodies and regulators may disagree with our conclusions, as has happened in the past. To the extent we have not complied with such laws, rules, and regulations, 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digital asset industry. For example, following the failure of several prominent digital asset trading venues and lending platforms, such as FTX, Celsius Networks, Voyager, and Three Arrows Capital in 2022, U.S. policymakers expressed the need for both greater federal oversight of the digital asset space and comprehensive digital asset legislation.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Presently, and in the future, various governmental and regulatory bodies, including in the United States, may introduce new policies, laws, and regulations relating to digital assets. Other companies’ failures of risk management and other control functions, such as those that have occurred in the past, could accelerate an existing regulatory trend toward stricter oversight of digital asset platforms and the digital asset industry more generally. Furthermore, new interpretations of existing laws and regulations may be issued by such bodies or the judiciary, which may adversely impact the development of digital assets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digital asset transactions, as has occurred in certain jurisdictions in the past. From time to time, the NYDFS issues guidance for virtual currency businesses in New York. For example, in November 2023, the NYDFS issued guidance regarding the listing of virtual currencies. This guidance and other applicable state law guidance regarding virtual currency business activity could result in changes to our business in such states as well as the risk of increased operational costs and the risk of enforcement actions. If we are unable to comply with any new requirements, our ability to offer our products and services in their current form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under recommendations from the FinCEN, and the Financial Action Task Force, the U.S. and several foreign jurisdictions have or are likely to impose the Funds Travel Rule and the Funds Transfer Rule (commonly referred to collectively as the “Travel Rule”) on financial service providers in the digital asset industry. We may face substantial costs to operationalize and comply with the Travel Rule and may be further subject to administrative sanctions for technical violations or user attrition if the user experience suffers as a result. In October 2023, FinCEN released a proposed rule that identifies virtual currency “mixing” as a class of transactions of primary money laundering concern and imposes heightened recordkeeping and reporting obligations for financial institutions with respect to those transactions. There are substantial uncertainties regarding the scope of these requirements in practice, and we may face substantial costs to operationalize and comply with these rules.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offer and may in the future offer products and services whose functionality or value depends in part on our management of smart contracts, liquid staking, asset tracking, or other applications that provide novel forms of user engagement and interaction delivered via blockchain protocols. We may also offer products and services whose functionality or value depends on our ability to develop, integrate, or otherwise interact with such applications within the bounds of our legal and compliance obligations. The legal and regulatory landscape for such products, including the law governing the rights and obligations between and among smart contract developers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users and the extent to which such relationships entail regulated activity is uncertain and rapidly evolving. Our interaction with those applications, and the interaction of other blockchain users with any smart contracts or assets we may generate or control, could present legal, operational, reputational, and regulatory risks for our business. We may be further subject to administrative sanctions for technical violations or user attrition if the user experience suffers as a result.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have offered and will continue to offer a variety of innovative products and services to our users, such as stocks, event contracts, GUSD, and a credit card, many of our offerings are subject to significant regulatory uncertainty and we may, from time to time, face regulatory inquiries regarding our current and planned products. For instance, we are an issuer of GUSD, which is redeemable on a one-to-one basis for U.S. dollars. The regulatory treatment of fiat-backed stablecoins is highly uncertain and has drawn significant attention from legislative and regulatory bodies around the world. The issuance and resale of such stablecoins may implicate a variety of banking, deposit, money transmission, prepaid access and stored value, AML, commodities, securities, sanctions, and other laws and regulations in the United States and in other jurisdictions. Legislative efforts have also focused on setting criteria for stablecoin issuers and what rules will govern redeemability and collateral. For example, in July 2025, the GENIUS Act was signed into law, reflecting a legislative interest in establishing and developing frameworks for the regulation of stablecoins and digital assets more broadly. In 2025, the U.S. House of Representatives also passed the CLARITY Act in an effort to pass laws relating to digital asset market structure. There is substantial uncertainty on how any such legislation will apply in practice, and we may face substantial compliance costs to operationalize and comply with these rules.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our products and services incorporate digital engagement, including recommendations, incentives, notifications, educational content, and relevant news. Legislators and regulators in jurisdictions in which we operate have solicited comment from the public or proposed or adopted laws or regulations relating to the use of gamification, predictive analytics, or other digital engagement features or practices in various products and services, including potential conflicts of interest that may arise as a result of such practices. If such laws or regulations are adopted in jurisdictions in which we operate and deemed to apply to the products and services we offer, we could be required to change the way we market our offerings and interact with existing and prospective users or modify certain features contained within our products and services, any of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staking and credit card rewards, which are subject to significant regulatory uncertainty, and could implicate a variety of laws and regulations worldwide. For example, there is regulatory uncertainty regarding the status of our staking, rewards, and other yield-generating activities under the U.S. federal and state securities laws. While we have implemented policies and procedures, including geo-fencing for certain products and services, designed to help monitor for and ensure compliance with existing and new laws and regulations, there can be no assurance that we and our employees, contractors, and agents will not violate or otherwise fail to comply with such laws and regulations. Similarly, with respect to the Gemini Credit Card, interchange fees have been the subject of litigation and legislative attention in the past and might be the subject of future litigation. If payment networks are forced to reduce their interchange fees through litigation or otherwise, it may adversely impact our revenue, operating results, and financial position.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suspend or terminate the offering of certain products and services. Moreover, to the extent our users nevertheless access our platform,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services are complex and involve new and evolving technologies, and it is therefore difficult to ensure they meet regulatory requirements across different jurisdictions. Before deciding whether to offer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products and services in a jurisdiction, we intend to assess the jurisdiction, including by way of legal review, to determine whether and to what extent services and products will be offered. Legal and regulatory change, as well as technical constraints, may result in changes in the services or products available or in the categories of users that are able to access them in a particular jurisdiction. However, our decision for each jurisdiction will involve an assessment of our compliance with applicable law, and local regulators may disagree that our offering of services and products in the relevant jurisdiction is in compliance with applicable law. Further, it may not be possible or practical to obtain external advice across the full spectrum of legal and/or regulatory issues relevant to our business in all relevant jurisdictions, and certain issues may require us to make interpretive judgments with respect to unclear legal and regulatory requirements, and local regulators may disagree with our interpretations.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Galactic Markets, LLC ("Gemini Galactic"), our broker-dealer subsidiary, operates as an introducing broker in connection with Gemini Stocks, through which eligible customers may trade U.S. exchange-listed stocks and ETFs. Gemini Galactic is subject to regulatory restrictions and requirements imposed by applicable statutes, regulations, and policies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 and desist orders or the suspension or expulsion of a broker-dealer from registration or membership. Gemini Galactic is registered with the Financial Industry Regulatory Authority, Inc. (“FINRA”), a securities industry self-regulatory organization that supervises and regulates the conduct and activities of its members and is currently in the process of registering with all U.S. states and territories. Gemini Galactic is currently registered in 45 of 50 states and the U.S. Virgin Islands. As a registered broker-dealer, Gemini Galactic is subject to periodic examinations and investigations by FINRA. The securities industry is highly regulated, and Gemini Galactic and its personnel are subject to requirements relating to, among other things, supervision, sales practices, communications with the public, registration of personnel, recordkeeping, best execution and order routing, and regulatory capital. Further, Gemini Galactic is subject to the BSA, and the implementing regulations thereunder, which require financial institutions, including broker-dealers, to establish AML compliance programs, file suspicious activity and other reports with the U.S. government and maintain certain records. Broker-dealers must also implement related user identification procedures and beneficial ownership identification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our business activities, including, but not limited to, with respect to digital assets, prediction markets, equities, and credit cards, we are subject to ongoing examinations, oversight, and reviews and currently are, and expect to be in the future, subject to investigations and inquiries, by U.S. federal, state, and local regulators, legislative bodies and other governmental authorities and foreign financial service regulators, many of which have broad discretion to audit and examine our business. We are periodically subject to, and will in the future continue to be subject to, audits and examinations by these regulatory authorities. As a result of findings from these audits and examinations, regulators have required, are requiring, and may in the future require us to take certain actions. Such actions might include amending, updating, or revising our compliance measures, limiting the kinds of users that we provide services to, or delaying the introduction of new product and services.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comply with, any laws and regulations have had, and may continue to have, an adverse effect on our reputation and brand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expand our international operations,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AML.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expand and localize our international operations, we will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their scrutiny of digital asset exchanges over time, such as by requiring digital asset exchanges operating in their local jurisdictions to be regulated and licensed under local laws. Moreover, laws regulating financial services, the internet, mobile technologies, digital assets, NFTs and related technologies outside of the United States are highly evolving, extensive and often impose different, more specific, or even conflicting obligations on us, as well as broader liability. In addition, we are required to comply with laws and regulations related to economic sanctions and export controls enforced by the U.S. Department of the Treasury’s Office of Foreign Assets Control (“OFAC”), the U.S. Department of Commerce’s Bureau of Industry and Security, and U.S. AML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including the Crimea Region and the so-called Donetsk People’s Republic, and the Luhansk People’s Republic regions of Ukraine, Cuba, Iran, and North Korea, as well as with persons, entities, and governments identified on certain prohibited party lists. Moreover, as a result of the Russian invasion of Ukraine, the United States, the E.U., the United Kingdom, and other jurisdictions have imposed wide-ranging sanctions on Russia and Belarus and persons and entities associated with Russia and Belarus. There can be no certainty regarding whether such governments or other governments will impose additional sanctions, or other economic or military measures against Russia or Belarus. We do not operate in these countries and we have implemented additional processes and procedures to comply with these sanctions. However, any potential activity with users associated with these countries may subject us to further exposure to sanctions as they are released. We have an OFAC compliance program in place that includes, among other controls, monitoring of IP addresses to identify prohibited jurisdictions and of blockchain addresses that have either been identified by OFAC as prohibited or that otherwise are believed by us to be associated with prohibited persons or jurisdictions. Nonetheless, there can be no guarantee that our compliance program will prevent transactions with particular persons or addresses or prevent every potential violation of OFAC sanctions. From time to time, we have submitted voluntary disclosures to OFAC or responded to administrative subpoenas from OFAC. To date, none of those proceedings has resulted in a monetary penalty or adverse action.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continuously work to enhance our controls and screening tools designed to promote sanctions compliance, there is no guarantee that we will not inadvertently provide access to our products and services to sanctioned parties or jurisdictions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worldwide frequently study each other’s approaches to the regulation of the digital asset space.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 Engaging in cross-border business can make it difficult for us to ensure that we adequately protect our legal rights and interests. We may incur liability from breaching our legal obligations or may not be able to enforce legal rights and obligations or to enforce them consistently and predictability across these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pStyle w:val="TextBody"/>
        <w:bidi w:val="0"/>
        <w:spacing w:lineRule="auto" w:line="288" w:before="0" w:after="0"/>
        <w:jc w:val="both"/>
        <w:rPr/>
      </w:pPr>
      <w:r>
        <w:rPr>
          <w:rFonts w:ascii="Times New Roman;serif" w:hAnsi="Times New Roman;serif"/>
          <w:b w:val="false"/>
          <w:color w:val="000000"/>
          <w:sz w:val="20"/>
        </w:rPr>
        <w:br/>
        <w:t xml:space="preserve">    We have been, currently are, and may from time to time become subject to claims, arbitrations, individual and class action lawsuits, government and regulatory investigations, inquiries, actions, or requests, including with respect to both consumer and employment matters, and other proceedings alleging violations of laws, rules, and regulations, both foreign and domestic. For example, we are currently subject to a purported federal securities class action and shareholder derivative actions, which are further described in </w:t>
      </w:r>
      <w:r>
        <w:rPr>
          <w:rFonts w:ascii="Times New Roman;serif" w:hAnsi="Times New Roman;serif"/>
          <w:b w:val="false"/>
          <w:i/>
          <w:color w:val="000000"/>
          <w:sz w:val="20"/>
        </w:rPr>
        <w:t>Note 22. Commitments and Contingencies</w:t>
      </w:r>
      <w:r>
        <w:rPr>
          <w:color w:val="000000"/>
        </w:rPr>
        <w:t xml:space="preserve"> </w:t>
      </w:r>
      <w:r>
        <w:rPr>
          <w:rFonts w:ascii="Times New Roman;serif" w:hAnsi="Times New Roman;serif"/>
          <w:b w:val="false"/>
          <w:color w:val="000000"/>
          <w:sz w:val="20"/>
        </w:rPr>
        <w:t>to our unaudited condensed consolidated financial statements included in Part I, Item 1 of this Quarterly Report on Form 10-Q. The scope, determination, and impact of claims, lawsuits, government and regulatory investigations, enforcement actions, disputes, and proceedings to which we are subject cannot be predicted with certainty, and may result 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payments to satisfy judgments, fines, or penalties;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outside counsel legal fees and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compliance and licensure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or non-renewal of existing licenses or authorizations, or prohibition from or delays in obtaining additional licenses or authorizations, required for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productivity and high demands on employee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criminal sanctions or consent decrees;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termination of certain employees, including members of our executive team;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barring of certain employees from participating in our business in whole or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orders that restrict our business or prevent us from offering certain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our business model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delays to planned transactions, product launches, or improvements;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damage to our brand and reputation.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our large user base, actions against us may claim large monetary damages, even if the alleged per-user harm is small or non-existent. Regardless of the outcome, any such matters can have an adverse impact, which may be material, on our business, operating results, or financial condition because of legal costs, diversion of management resources, reputational damage, and other factors.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compliance and risk management methods might not be effective and may result in a regulatory enforcement action and other outcomes that could adversely affect our reputation,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comply with applicable complex and evolving laws, regulations, and rules is largely dependent on the establishment, maintenance, and scaling of our compliance, internal audit, and reporting systems to continuously keep pace with our user activity and transaction volume,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are and will always be effective or that we have been and will always be successful in monitoring or evaluating the risks to which we are or may be exposed in all market environments,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the future, we may identify gaps in such policies and procedures or existing gaps may become higher risk, and may require significant resources and management attention. Our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periodically review our compliance with our own policies and procedures and with a variety of laws and regulations. We have received in the past and may from time to time receive additional examination reports citing violations of rules and regulations and inadequacies in existing compliance programs, and requiring us to enhance certain practices with respect to our compliance program, including due diligence, training, monitoring, reporting, and recordkeeping. If we fail to comply with these, or do not adequately remediate certain findings, regulators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prohibit us from engaging in some of our business activities, or revoke our licenses. We face significant intervention by regulatory authorities, including extensive examination and surveillance activities, and will continue to face the risk of significant intervention by regulatory authorities in the future. In the case of non-compliance or alleged non-compliance, we could be subject to investigations and proceedings that may result in substantial penalties or civil lawsuits, including by users, for damages which can be significant. Any of these outcomes would adversely affect our reputation and brand and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consolidated balance sheets may not contain sufficient amounts or types of regulatory capital to meet the changing requirements of our various regulators worldwide, which could adversely affect our business, operating results,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possess sufficient financial soundness and strength to adequately support our regulated subsidiaries. We may from time to time incur indebtedness and other obligations which could make it more difficult to meet these capitalization requirements or any additional regulatory requirements. In addition, although we are not a bank holding company for purposes of United States law or the law of any other jurisdiction, as a global provider of financial services and in light of the changing regulatory environment in various jurisdictions, we could become subject to new capital requirements introduced or imposed by the United States and international regulators. Any change or increase in these regulatory requirements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operating subsidiaries licensed to, among other things, engage in money transmission in the United States and operate as a limited purpose trust company and conduct virtual currency business activity in New York, we are subject to strict rules governing how we manage and hold user fiat currency and digital assets. We maintain complex treasury operations to manage and move user fiat currency and digital assets across our platforms and to comply with regulatory requirements. However, it is possible we may experience errors in fiat currency and digital asset handling, accounting, and regulatory reporting that lead us to be out of compliance with these requirements. In addition, regulators may increase the amount of fiat currency reserves that we are required to maintain for our operations, as has happened in the past. Non-compliance with regulatory capital requirements may lead to sanctions, penalties, changes to our business operations, or the revocation of licenses. Frequent launch of new products and services increases these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GTC is subject to certain regulatory capital requirements imposed by NYDFS. The capital requirement can be maintained in specified allocations of cash, virtual currency, or high-quality, highly liquid, investment-grade assets. The capital requirement is determined by NYDFS based upon GTC’s activities and is an amount deemed sufficient to ensure the financial integrity of the licensee and its ongoing operations based on an assessment of the specific risks applicable to it. The amounts set aside to satisfy these requirements are included in the consolidated balance sheets included in our financial statements appearing elsewhere in this Quarterly Report on Form 10-Q. In addition, Gemini Galactic is subject to the SEC’s net capital requirements applicable to broker-dealers. If Gemini Galactic fails to maintain required net capital, its securities activities could be restricted or suspended, and it could be subject to fines or other disciplinary or corrective action.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significant legal and compliance risks and expenses relating to the NYDFS Cybersecurity Regulation.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NYDFS Cybersecurity Regulation requires covered entities, including limited purpose trust companies such as GTC, to establish and maintain a cybersecurity program designed to protect the confidentiality, integrity, and availability of our information systems. This includes, but is not limited to, developing a written policy or policies that address a number of key areas of cybersecurity, and conducting ongoing, comprehensive risk assessments. Further, on an annual basis, each institution is required to submit a certification of compliance with these requirements. In addition, the NYDFS Cybersecurity Regulation contains specific requirements with respect to third-party service provider security, cybersecurity personnel and intelligence, the use of multi-factor authentication, penetration testing and encryption of nonpublic information, which is defined to include not only personal information but also business-related information that, if accessed or acquired by an unauthorized third party, would cause a material adverse effect on the business, operations, or security of the covered entity. The NYDFS has previously brought enforcement actions, which involve civil monetary penalties. In the event of a cybersecurity incident, GTC could be subject to potentially significant monetary penalties and required to undertake expensive remediation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failure to obtain or maintain necessary money transmission registrations and licenses could adversely affect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our U.S. exchanges, GTC and Gemini Moonbase, we currently operate as a money transmitter in all 50 states and have obtained the requisite money transmitter licenses to the extent that the laws and regulations of such states clearly indicate that a license is required or where state regulators have advised us that we need a license to operate. In the U.S., we are registered as a money services business with FinCEN and are currently also licensed to operate as a money transmitter in various states. We also currently operate in states where we do not believe we are required, or have been informed by the relevant jurisdiction that we are not required, to obtain money transmitter licenses or any other required licenses. This belief is based on our analysis of the applicable laws and regulations and/or our communications with the regulators in the relevant jurisdiction. If our licenses are not renewed, we are denied licenses in additional states or jurisdictions where we choose to apply for a license, or jurisdictions where we believe a license is not required require a license in the future, we could be forced to seek a license or change our business practices.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As a money services business and a money transmitter, we are subject to a range of legal obligations and requirements including bonding, net worth maintenance, user notice and disclosure, reporting, recordkeeping and cybersecurity requirements, and obligations that apply to the safeguarding of third-party funds and crypto assets. In addition, the licensed entities within our corporate structure are subject to inspection and examination by the state licensing agencies and certain actions involving those entities, such as changes in controlling equity holders, board members, and senior management, may require regulatory approval. Further, if we were found by these regulators to be in violation of any applicable laws, rules,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jurisdictions have enacted rules that require money transmitters, money services businesses, or virtual currency businesses to establish and maintain transaction monitoring, filtering, screening, and cybersecurity programs. Wherever we are subject to these rules, we are required to adopt business practices that require additional expenditures and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if federal, state, or international regulators were to take actions that limit or prohibit us or our business partners from continuing to operate our business or their businesses as currently operated, whether by imposing additional requirements, compliance obligations, or sanctions, such actions could harm our business. Any change to our business practices that makes our service less attractive to users or prohibits use of our products or services by residents of a particular jurisdiction could decrease our transaction volume and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obtain and process a large amount of personal data, including sensitive data. Any real or perceived improper use of, disclosure of, or access to such data could harm our reputation, as well as have an adverse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exchange, credit card program, and otherwise, we obtain and process large amounts of personal data, including personal data related to our users and their transactions, such as their names, addresses, and trading data, as well as sensitive data related to our users, such as their social security numbers, copies of government-issued identification, tax identification, and bank account information. In addition, our credit card business may involve the collection and storage of payment card information, transaction histories, and user spending patterns, all of which carry distinct privacy and regulatory risks. We face risks, including to our reputation, in the handling and protection of this data, and these risks will increase as our business continues to expand, including through our acquisition of, and investment in, other companies and technologies. Federal, state, and international laws and regulations governing privacy, data protection, and e-commerce transactions require us to safeguard our users’, employees’, and service providers’ personal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administrative, technical, and physical security measures and controls in place and strive to maintain a robust information security program. However, our security measures, or the security measures of companies we acquire, may be inadequate or breached as a result of third-party action, employee, or service provider error, malfeasance, malware, phishing, hacking attacks, system error, trickery, advances in computer capabilities, new discoveries in the field of cryptography, inadequate facility security, or otherwise, and, as a result, someone may be able to obtain unauthorized access to sensitive information, including personal data, on our systems. Such threats may see their frequency increased and effectiveness enhanced by the use of AI. In particular, unauthorized access to sensitive payment card information could expose us to enhanced privacy risks, regulatory penalties, and user remediation obligations. We could be the target of a cybersecurity incident, which could result in harm to our reputation and financial losses. Additionally, our users have been and may in the future be targeted in cybersecurity incidents like an account takeover, which could result in harm to our reputation and financial losses. For example, in 2022, certain of our third-party vendors and suppliers experienced data breaches, which resulted in the exposure of the email addresses and truncated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 Privacy and data protection laws are subject to uncertainty and continue to evolve in ways that could adversely impact our business. These laws may be interpreted and applied in a manner that is inconsistent with our data handling safeguards and practices, which could result in fines, lawsuits, restrictions, and other penalties, and significant changes to our or our third-party partners’ business practices, products, and service offerings. We may also have to stop using certain tools and vendors and make other operational changes, which could be costly and time consuming and could adversely affect our business and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the reliability and security of our platform. To the extent that the measures we, any companies we acquire, or our third-party business partners have taken prove to be insufficient or inadequate, or to the extent we discover a security breach suffered by a company we acquire following the closing of such acquisition, we may become subject to litigation, breach notification obligations, user remediation obligations, or regulatory or administrative sanctions, which could result in significant fines, penalties, damages, restrictions, harm to our reputation, or loss of users. Given the volume of sensitive information required to operate our credit card business, the consequences of any unauthorized disclosure or improper access to this data could be particularly severe, leading to potential reputational harm, regulatory scrutiny, or penalties, restrictions and other relief under sector-specific privacy or data security standards, such as the PCI DSS. If our own confidential business information or sensitive user information were improperly disclosed, our business could be adversely affected. Additionally, a party who circumvents our security measures could, among other effects, misappropriate user information or other proprietary data, cause interruptions to our operations, or expose our users to hacks, viruses, and other disruptions.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on the nature of the information compromised, in the event of a data breach or other unauthorized access to our user data, we may also have obligations to notify users and regulators about the incident, and we may need to provide some form of remedy, such as a subscription to credit monitoring services, pay significant fines to one or more regulators, or pay compensation in connection with a class-action settlement (including under the private right of action under the California Consumer Privacy Act of 2018, as amended (the “CCPA”), which took effect in 2020 and is expected to increase security breach litigation). Such breach notification laws continue to evolve and may be inconsistent from one jurisdiction to another. In the United States, the SEC has adopted rules for mandatory disclosure of cybersecurity incidents suffered by public companies, as well as governance and management of cybersecurity risks (including board oversight thereof). Complying with these obligations could cause us to incur substantial costs and could increase negative publicity surrounding any incident that compromises user data. 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above. The complex and evolving requirements of privacy regulations applicable to our credit card business further increase our compliance burden and potential exposure in the event of any security incidents involving personal or payment-related data. Any of the foregoing could have an adverse effect on our business, reputation,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or regulations. Additionally, changes in the laws and regulations that govern our collection, use, and disclosure of user data could impose additional requirements with respect to the retention and security of user data (especially as these requirements pertain to sensitive payment and transaction data processed by our credit card business), limit our marketing activities, and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laws, regulations, and industry requirements related to data privacy, data protection and information security, AI, and user protection across different markets where we conduct our business, and such laws, regulations, and industry requirements are constantly evolving and changing. Any actual or perceived failure to comply with such laws, regulations, and industry requirements, or our privacy policies,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Various local, state, federal, and international laws, directives, and regulations apply to our collection, use, retention, protection, disclosure, transfer, and processing of personal data. These data protection and privacy laws and regulations are subject to uncertainty and continue to evolve in ways that could adversely impact our business. These laws have a substantial impact on our operations both outside and in the United States, either directly as a data controller or as a data processor and handler for various offshore entities. Compliance with these laws, regulations, rules, and standards may require us to change our policies, procedures, and technology for cybersecurity, which could, among other things, make us more vulnerable to operational failure and to monetary penalties for breach of such laws, regulations, rules and standards. The data privacy and cybersecurity regulatory landscape is increasingly stringent and fragmented across different jurisdictions, leading to compliance challenges, governance costs, and potential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state and federal lawmakers and regulatory authorities have increased their attention on the collection and use of user data. In the United States, non-sensitive user data generally may be used under current rules and regulations, subject to certain restrictions, so long as the person does not affirmatively “opt-out” of the collection or use of such data. If an “opt-in” model or additional required “opt-outs” were to be adopted in the United States, less data may be available, and the cost of data likely would increase. For example, California enacted the CCPA, which requires covered companies to, among other things, provide new disclosures to California users, and affords such users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Other state legislatures have also adopted data privacy legislation relating to privacy, data security, data breaches, and the protection of sensitive and personal information, with which we must comply, except to the extent exempted or preempted by federal law, such as the Gramm-Leach-Bliley Act. For example, in 2021, Virginia passed the Consumer Data Protection Act (the “CDPA”) (effective January 2023) and Colorado passed the Colorado Privacy Act (the “CPA”) (effective July 2023) to provide comparable consumer privacy rights to the CCPA. A number of other states’ comprehensive privacy laws became effective in 2024, including Texas Data Privacy and Security Act (the “TDPSA”) (effective July 2024) and the Oregon Consumer Privacy Act (the “OCPA”) (effective July 2024). In the future, additional states could also adopt data privacy legislation, which may include more stringent data privacy requirements. We cannot predict the impact of the CCPA, CDPA, CPA, TDPSA, OCPA, or other similar laws or regulations on our business or operations,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compliance therewith may require us to modify our data processing practices and policies incurring costs and expense. Further, to the extent multiple state-level laws are introduced with inconsistent or conflicting standards, it may require costly and difficult efforts to achieve compliance with such laws. Our failure or perceived failure to comply with the CCPA, CDPA, CPA, TDPSA, OCPA, or other similar laws or regulations passed in the future could have a material adverse effect on our business, including how we use personal information,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many foreign countries and governmental bodies, including the European Union, Singapore, United Kingdom, Switzerland, and numerous other jurisdictions in which we currently operate, previously operated, or conduct our business, have laws and regulations concerning the collection, use, processing, storage, and deletion of personal information obtained from their residents or by businesses operating within their jurisdictions. These laws and regulations may be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require that certain types of data be retained on local servers within these jurisdictions, and, in some cases, obtain individuals’ affirmative opt-in consent to collect and use personal information for certain purposes.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former presence in Europe and our prior service offerings in the European Union and the United Kingdom, we remain subject to the General Data Protection Regulation (the “E.U. GDPR”) and the U.K. General Data Protection Regulation (the “U.K. GDPR”) with respect to the processing of personal data we processed or continue to process relating to individuals in those jurisdictions, wherever that processing occurs. The E.U. GDPR and U.K. GDPR include operational requirements for companies that receive or process personal data and impose stringent data protection requirements, which could increase the risk of non-compliance and the costs of maintaining our data processing activities in a compliant manner. Failure to meet E.U. GDPR and U.K. GDPR requirements could result in significant penalties (including, under the E.U. GDPR, penalties of up to €20 million or 4% of our worldwide net trading income, whichever is greater), regulatory investigations, reputational damage, fines and sanctions, orders to cease or change our processing of our data, and other notices. We may also face civil claims including representative actions and other class action type litigation, potentially amounting to significant compensation or damages liabilities, as well as associated costs, diversion of internal resources, and reputational harm (for example, the E.U. GDPR confers a private right of action on data subjects and consumer associations).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both the E.U. GDPR (covering the European Economic Areas) and the U.K. GDPR impose strict rules on the transfer of personal data out of the European Union or the United Kingdom to a “third country,” including the United States. We currently rely on standard contractual clauses and related transfer mechanisms (as applicable) for certain intragroup and third-party data transfers, and if we are required to implement additional mechanisms, make other operational changes, or cease or limit certain transfers, it could affect the manner in which we process personal data and provide our services, increase our costs, or adversely affect our business, operating results, and financial condition. As supervisory authorities continue to issue further guidance on personal data, we could suffer additional costs, complaints, or regulatory investigations or fines; we may have to stop using certain tools and vendors and make other operational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are exiting and winding down operations in the United Kingdom, the European Union, and other European jurisdictions, our prior activities and continued processing of certain personal data may continue to subject us to these requirements and related liabilities, and any failure to comply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conscious of the extensive and evolving regulatory frameworks in the jurisdictions in which we operate. For instance, the overall regulatory framework governing the application of privacy laws to blockchain technology is still highly undeveloped and likely to evolve. Further, there are changes in the regulatory landscape relating to new and emerging technologies, such as generative AI, which we have found and continue to find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ways to leverage in our products and internal operations. Our failure, or the failure by our third-party service providers or partners, to comply with applicable laws or regulations and to prevent unauthorized access to, or use or release of personal data, or the perception that any of the foregoing types of failure has occurred, even if unfounded, could subject us to audits, inquiries, whistleblower complaints, adverse media coverage, investigations, severe criminal, or civil sanctions, damage our reputation, or result in fines or proceedings by governmental agencies and private claims and litigation, any of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required to comply with consumer protection laws in various jurisdictions, which may lead to increased costs of compliance, potential investigations, fines, remedial requirements, potential actions by consumers against us, such as user complaints and claims for losses, as well as not being able to enforce contracts and/or other rights against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consumer protection laws in various jurisdictions that focus on protecting the rights of consumers. Laws and regulations relating to consumer protection are evolving and subject to potentially differing interpretations. These requirements may be interpreted and applied in a manner that is inconsistent from one jurisdiction to another or may conflict with other rules or our practices. We may in the future become subject to investigation and enforcement action by local, national, and international consumer protection agencies, which monitor user complaints against us and, from time to time, escalate matters for investigation and potential enforcement against us. Any failure, or perceived failure, by us to comply with consumer protection-related laws and regulations to which we may be subject or other legal obligations relating to consumer protection could lead to increased costs of compliance, potential investigations, fines, remedial requirements, reputational damage, potential actions by consumers against us, such as user complaints and claims for losses, as well as not being able to enforce contractual and/or other rights against our users, which may result in adverse impact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acceptance of various payment methods exposes us to evolving rules, regulations, and compliance requirements. Non-compliance may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accept payments using a variety of methods, which subjects us to rules, regulations, contractual obligations, and compliance requirements, including payment card association operating rules, certification requirements and operating guidelines, data security standards and certification requirements,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of 1940 (the “1940 Act”), applicable restrictions likely would make it impractical for us to continue our business as currently contemplated.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Sections 3(a)(1)(A) and (C) of the 1940 Act, a company generally will be deemed to be an “investment company”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Rule 3a-1 under the 1940 Act generally provides that notwithstanding the Section 3(a)(1)(C) test described in clause (ii) above, an entity will not be deemed to be an “investment company” for purposes of the 1940 Act if no more than 45% of the value of its assets (exclusive of U.S. government securities and cash items) consists of, and no more than 45% of its net income after taxes (for the past four fiscal quarters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We do not believe that we are an “investment company” as such term is defined in either Section 3(a)(1)(A) or Section 3(a)(1)(C) of the 1940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hold ourselves out as being engaged primarily, or propose to engage primarily, in the business of investing, reinvesting, or trading in securities within the meaning of Section 3(a)(1)(A) of the 1940 Act. However, our assessment of our business is not binding on the SEC or any federal court that would consider our status as an investment company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Section 3(a)(1)(C), we believe we satisfy the elements of Rule 3a-1 and therefore are deemed not to be an investment company under, and we intend to conduct our operations such that we will not be deemed an investment company under, Section 3(a)(1)(C). We believe that we are not an investment company pursuant to Rule 3a-1 under the 1940 Act because, on a consolidated basis with respect to wholly-owned subsidiaries but otherwise on an unconsolidated basis, no more than 45% of the value of our total assets (exclusive of U.S. government securities and cash items) consists of, and no more than 45% of our net income after taxes (for the last four fiscal quarters combined) is derived from, securities other than U.S. government securities, securities issued by employees’ securities companies, securities issued by our qualifying majority owned subsidiaries, and securities issued by qualifying companies that are controlled primarily by us. Moreover, even if we were to fail the 40% test in Section 3(a)(1)(C), and not be able to rely on Rule 3a-1, under Section 3(b)(1) of the 1940 Act an entity is not an investment company if it is primarily engaged, directly or through a wholly-owned subsidiary or subsidiaries, in a business or businesses other than that of investing, reinvesting, owning, holding, or trading in securities. We believe that we meet the Section 3(b)(1) standard.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Digital assets, as well as new business models and transactions enabled by blockchain technologies, present novel interpretive questions under the 1940 Act. There is a risk that assets or arrangements that we have concluded are not securities could be deemed to be securities by the SEC or another authority for purposes of the 1940 Act, which would increase the percentage of securities held by us for 1940 Act purposes. The SEC has requested information from a number of participants in the digital assets ecosystem regarding the potential application of the 1940 Act to their businesses. For example, in an action unrelated to us or any of our subsidiaries, in February 2022, the SEC issued a cease-and-desist order under the 1940 Act to BlockFi Lending LLC, in which the SEC alleged that BlockFi was operating as an unregistered investment company because it issued securities and also held more than 40% of its total assets, excluding cash, in investment securities, including the loans of digital assets made by BlockFi to institutional borrowers.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deemed to be an investment company, Rule 3a-2 under the 1940 Act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 (i) the date on which the issuer owns securities and/or cash having a value exceeding 50% of the issuer’s total assets on either a consolidated or unconsolidated basis or (ii) the date on which the issuer owns or proposes to 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1940 Act at any given time. Furthermore, reliance on Rule 3a-2, Section 3(a)(1)(C), or Rule 3a-1 could require us to take actions to dispose of securities, limit our ability to make certain investments or enter into joint ventures, or otherwise limit or change our service offerings and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be deemed an investment company in the future, restrictions imposed by the 1940 Act—including limitations on our ability to issue different classes of stock and equity compensation to directors, officers, and employees and restrictions on management, operations, and transactions with affiliated persons likely would make it impractical for us to continue our business as contemplated, and could have a material adverse effect on our business, results of operations, and financial condition. As a result, any future guidance or action from the SEC or its Staff that affect our investment company status or analysis, including changes that the SEC or its Staff may propose and adopt to stablecoins and/or digital assets generally, could inhibit our ability, or the ability of our subsidiaries, to pursue our current or future operating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Classification as an investment company would additionally subject us to specialized accounting methods under the 1940 Act. Among other things, the 1940 Act prescribes the methods to be used when making determinations of value. For financial statement purposes, securities for which market quotations are readily available are valued at their market value, and securities for which market quotations are not readily available and all other assets are valued at fair value as determined in good faith by the board of directors or its valuation designee. Furthermore, a company subject to regulation under the 1940 Act is also required to present its financial statements as prescribed under applicable 1940 Act rules and regulations. If we were deemed to be an investment company, and were unable to qualify for an exemption or exclusion from investment company status under the 1940 Act, our accounting of assets and presentation of our financial statements would change, and the financial statement presentation would not in our view reflect the orientation of our operations and may make it difficult to compare our results of operations with the results of our competitors in the stablecoin and digital assets sector.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current and future services are dependent on payment networks, and any changes to their rules or practices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banks and other payment processors to process users’ payments in connection with the purchase of digital assets on our platform and we pay these providers fees for their services. From time to time, payment networks have increased, and may increase in the future, the interchange fees and assessments that they charge for transactions that use their networks. Payment networks have imposed, and may impose in the future, special fees on the purchase of digital assets, including on our platform, which could negatively impact us and significantly increase our costs. Our payment card processors may have the right to pass any increases in interchange fees and assessments on to us, and may impose additional use charges which would increase our operating costs and reduce our operating income. We could attempt to pass these increases along to our users, but this strategy might result in the loss of users to our competitors that may not pass along the increases, thereby reducing our revenue. If competitive practices prevent us from passing along the higher fees to our users in the future, we may have to absorb all or a portion of such increases, thereby increasing our operating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directly or indirectly liable to the payment networks for rule violations. Payment networks set and interpret their network operating rules and may allege in the future that various aspects of our business model violate these operating rules. If such potential allegations are not resolved favorably, they may result in significant fines and penalties or require changes in our business practices that may be costly and adversely affect our business. The payment networks could adopt new operating rules or interpret or reinterpret existing rules that we or our processors might find difficult or even impossible to follow, or costly to implement. As a result, we could lose our ability to give users the option of using credit cards to fund their purchases or the choice of currency in which they would like their card to be charged. If we are unable to accept credit cards or are limited in our ability to do so, our business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major mobile operating systems and third-party platforms for the distribution of certain products. If Google Play, the Apple App Store, or other platforms prevent users from downloading our apps, our ability to grow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upon third-party platforms for the distribution of certain products and services. The Google Play Store and Apple App Store, which are global application distribution platforms, are the main distribution channels for our app. We are highly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apps, reduce or eliminate our ability to distribute our app, give preferential treatment to competitive products, limit our ability to target or measure the effectiveness of our app, or impose fees or other charges related to our delivery of our app could adversely affect our business. Each provider of these operating systems and stores has broad discretion to change and interpret its terms of service and policies with respect to our platform and those changes might be unfavorable to us and our users’ use of our platform. In addition, these providers can require us to provide information and data, change our practices and implement certain features or policies related to our operations. Responding to such inquiries or implementing the changes these providers may ask us to do could be costly and time-consuming. Further, these providers may take aim at the digital assets listed on our platform, and require us to remove or delist these assets, which could cause reputational harm and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violate, or an operating system provider or application store believes that we have violated, any terms of service or policies, that operating system provider or application store could limit or discontinue our access to its operating system or store. There can be no guarantee that third-party platforms will continue to support our product offerings, or that users will be able to continue to use our products on such third-party platforms and any limitation or discontinuation of our access to any third-party platform or app store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agreements with third parties to offer certain of our product and service offerings. If our relationship with these third parties were to deteriorate or terminate, our ability to continue to offer such product or service offerings may be affected, which may adversely impact our business, results of operation,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agreements with certain third parties to offer certain products and service offerings. For example, we offer the Gemini Credit Card through an agreement with WebBank, our bank partner, and we offer Gemini Stocks through an agreement with Apex Clearing Corporation ("Apex"), a wholly owned subsidiary of Apex Fintech Solutions Inc., which acts as the custodian and clearing broker.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relationship with WebBank and/or Apex were to deteriorate or terminate, or if WebBank or Apex were to cease operations, our ability to continue to offer our credit card product or stocks to our users would be affected, which could adversely affect our financial and business results. In such an event, we may need to partner with different parties to continue to offer these products and, in such case, the offering of these products may be disrupted and delayed as we transition to a different partner. We also may face increased costs and compliance burdens if our agreement with these third parties are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intellectual property rights are valuable, and any inability to protect them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relies heavily in large part on our proprietary technology and our brand. We protect our intellectual property through a combination of trademark, trade dress, domain name, copyright, and trade secret rights, as well as confidentiality and license agreements with our employees, contractors, consultants, and third parties. We expect to continue using these measures to establish, protect, and maintain our brand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intellectual property rights. However, our efforts to establish, protect, and maintain our intellectual property rights in the United States or in foreign markets may not be sufficient or effective. Our proprietary technology and trade secrets could be lost through misappropriation or breach of our confidentiality and license agreements,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We also require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Further, these agreements do not prevent our competitors from independently developing technologies that are substantially equivalent or superior to our technology. These agreements may not be self-executing, may be insufficient or breached, may not effectively prevent disclosure of our proprietary information and trade secrets, and may not provide an adequate remedy in the event of unauthorized disclosure of such information or infringement or misappropriation of our intellectual property. In addition, trade secrets and know-how can be difficult to protect and some courts inside and outside the U.S. are less willing or unwilling to protect trade secrets and know-how. The loss of trade secret protection could make it easier for third parties to compete with our products and services by copying functionality. Individuals not subject to invention assignment agreements may claim ownership to our current and future intellectual property, and, to the extent that our employees, independent contractors or other third parties with whom we do business use intellectual property owned by others in their work for us, disputes may arise.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intellectual property protection may not be available to us in every country in which our products and services are available, and the laws of such countries may not protect intellectual property and proprietary rights to the same extent as the laws of the U.S. For example, some foreign countries have compulsory licensing laws under which a patent owner must grant licenses to third parties and many countries limit the enforceability of patents against certain third parties, including government agencies or government contractors. In these countries, patents may provide limited or no benefit.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In some instances, patent applications or patents may be abandoned or allowed to lapse, resulting in partial or complete loss of patent rights in a relevant jurisdiction. We may also agree to license our patents to third parties as part of patent pools, open patent projects or pursuant to open source software licenses. Those licenses may diminish our ability, though, to counter-assert our patents against certain parties that may bring claims against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long-term success will depend to some degree on our ability to protect the proprietary technology that we have developed or may develop or acquire in the future. While our patents may offer some protection,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intellectual property rights may not be sufficiently comprehensive to prevent our competitors from developing similar competitive products. Despite our efforts, unauthorized third parties, including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may not be able to successfully assert our intellectual property or other proprietary rights against them. Measures we have put in place may not prevent misappropriation, infringement, or other violations of our intellectual property or proprietary information, resulting in a loss of competitive advantage. Although we may pursue anyone whom we reasonably believe is infringing upon our intellectual property rights, initiating and maintaining suits against third parties requires substantial financial resources and may not succeed. While in some cases a third party may agree to indemnify us for costs associated with intellectual property-related litigation, there is a risk that such a third party could refuse or be unable to fulfill its obligations. Our insurance coverage may also not adequately cover claims of this type, or may not apply at all, potentially requiring us to pay significant monetary damages. Any of our enforcement efforts may be met with defenses, counterclaims, and countersuits attacking the validity and enforceability of our intellectual property rights. If such defenses or counterclaims are successful, we could lose valuable intellectual property rights. In addition, the significant amount of discovery required in intellectual property litigation could lead to the disclosure of our confidential information. Regardless of the outcome, enforcing our rights may result in costly and time-consuming litigation, potentially harming our business and competitive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sued by third parties in the future for alleged infringement of their trademark, patent, and other intellectual and other proprietary rights.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there has been considerable patent, copyright, trademark, domain name, trade secret and other intellectual property development activity in the digital asset industry, as well as litigation, based on allegations of infringement or other violations of intellectual property, including by large financial institutions. Furthermore, individuals and groups can purchase patents and other intellectual property assets for the purpose of making claims of infringement to extract settlements from companies like ours. Our use of third-party intellectual property rights also may be subject to claims of infringement or misappropriation. We cannot guarantee that NFTs that were previously sold on Nifty Gateway, or our internally developed or acquired technologies and content did not, do not or will not infringe the intellectual property rights of others. Meme coins listed on one or more of our exchanges may incorporate names or images that infringe on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products or services or using certain technologies, force us to implement expensive workarounds, or impose other unfavorable circumstances. We expect that the occurrence of infringement claims is likely to grow as the digital asset market grows and matures. Accordingly, as our business grows,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by us or news coverage of any such litigation as negative, the market price of our Class A common stock may decline. Even if intellectual property infringement or misappropriation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NFTs previously sold on Nifty Gateway may infringe on or otherwise violate the intellectual property rights of others, including possible copyright and trademark infringement.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announced the wind down of Nifty Gateway in January 2026, NFTs that were supported by Nifty Gateway may continue to raise various intellectual property law considerations, including adequacy and scope of assignment, licensing, transfer, copyright, and other right of use issues. The creator of an NFT will often have all rights to the content of the NFT and can determine what rights to assign to a buyer, such as the right to display, modify, or copy the content. Risks associated with purchasing or selling NFTs, include, among other things, the risk of purchasing counterfeit items or items alleged to be counterfeit, mislabeled items, items that are vulnerable to metadata decay, items on smart contracts with bugs, items related to content that infringes intellectual property rights, and items that may become untransferable. To the extent that, despite our screening procedures for NFTs that were supported on Nifty Gateway that were designed to prevent such issues, we are directly or indirectly involved in a dispute between Nifty Gateway's former creators and buyers, it could harm our business, reputation,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platform contains third-party open source software components, and failure to comply with the terms of the underlying open source software licenses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contains software modules licensed to us by third-party authors under “open source” licenses. We also make certain of our own software available to users for free under various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the risks associated with the use of open source software cannot be eliminated. For instance, open source software is often developed by different groups of programmers that collaborate with each other on projects and are beyond our control.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Such a delay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our processes for controlling our use of open source software in our platform are, or will be, effective. If we are held to have breached or failed to fully comply with all the terms and conditions of an open source software license, we could face litigation, infringement or other liability,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operating results, and financial condition. Moreover, the terms of many open source licenses have not been interpreted by U.S. or non-U.S. courts. As a result, there is a risk that these licenses could be construed in a way that could impose unanticipated conditions or restrictions on our ability to provide or distribute our platform. From time to time, there have been claims challenging the ownership of open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source software against companies that incorporate open source software into their solutions. As a result, we could be subject to lawsuits by parties claiming ownership of what we believe to be licensed to us free of charge as open source software.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Employees and Other Service Providers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of one or more of our key personnel, or our failure to attract and retain other highly qualified personnel in the future,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relatively new industry that is not widely understood and requires highly skilled and technical personnel. We believe that our future success is highly dependent on the talents and contributions of our senior management team, including in particular Tyler and Cameron Winklevoss, and other key employees across product, engineering, risk management, finance, compliance and legal, and marketing. Our future success depends on our ability to attract, develop, motivate, and retain highly qualified and skilled employees. Due to the nascent nature of digital assets, the pool of qualified talent is extremely limited, particularly with respect to executive talent, engineering, risk management, and financial regulatory expertise. We face intense competition for qualified individuals from numerous software and technology companies. To attract and retain key personnel, we incur significant costs, including salaries and benefits and equity incentives. Even so, these measures may not be enough to attract and retain the personnel we require to operate our business effectively. The loss of even a few key employees, or an inability to attract, retain and motivate additional highly skilled employees required for the growth of our business could adversely impact our operating results and impair our ability to grow.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recently experienced senior management turnover, and our management team has limited experience operating as a public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does not have significant experience operating publicly traded companies, and has limited experience interacting with public company investors, and complying with the increasingly complex laws pertaining to public companies. In addition, in February 2026, we parted ways with our Chief Financial Officer, Chief Legal Officer, and Chief Operating Officer and appointed a new Interim Chief Financial Officer and General Counsel. These leadership changes, together with our limited public company operating experience, may make it more difficult for us to manage our public company reporting, legal and regulatory obligations, investor communications and other functions necessary to operate as a public company. In addition, the transition of responsibilities among senior management may divert management's attention from the operation of our business. If we are unable to manage this transition effectively, our business, operating results, and financial condition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try to foster a high-performance culture, and if we cannot maintain this culture, our business could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 key contributor to our success is our culture. We prioritize curiosity and continuous learning, encouraging team members to push boundaries while maintaining our commitment to regulatory compliance and risk management. Our current talent pool is comprised of professionals from leading technology and financial institutions, providing the comprehensive skill set needed to drive innovation in the cryptoeconomy. We believe our team’s track record of building scalable, distributed software systems, navigating complex regulatory environments, and delivering innovative products positions us for continued growth. If we cannot maintain this culture in the future, our business may be adversely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 the event of employee or service provider misconduct or error, our business may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Employee or service provider misconduct or error could subject us to legal liability, financial losses, and regulatory sanctions and could seriously harm our reputation and negatively affect our business. Such misconduct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could include engaging in improper or unauthorized transactions or activities, misappropriation of user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users, could expose us to the risk of material losses even if the errors are detected. Although we have implemented processes and procedures and provided trainings to our employees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restrictions on our activities for failure to properly identify, monitor and respond to potentially problematic activity and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officers, directors, employees, and large stockholders may encounter potential conflicts of interests with respect to their positions or interests in certain digital assets, entities, and other initiatives, which could adversely affect our business and reputation.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engage in a variety of transactions and maintain relationships with a number of digital asset projects, their developers, members of their ecosystem, and investors. It is possible that these transactions and relationships could create potential conflicts of interests in management decisions that we make. For instance, certain of our officers, directors, and employees are active investors in digital asset projects themselves, and may make investment decisions that favor projects that they have personally invested in. Many of our other stockholders also make investments in these digital asset projects. In addition, our co-founders are involved in a number of initiatives related to digital assets and frequently make investments in companies involved in digital assets and blockchain networks. This and other initiatives they are involved in could divert their time and attention from overseeing our business operations which could have a negative impact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Similarly, certain of our directors, officers, employees, and large stockholders may hold digital assets that we are considering supporting for trading on our platform, and may be more supportive of such listing notwithstanding legal, regulatory, and other issues associated with such digital assets. We maintain a Digital Assets Trading Policy that prohibits trading in digital assets based on material nonpublic information and we have also adopted a Code of Business Conduct and Ethics that addresses self-dealing and other potential conflicts of interests. While we have instituted policies and procedures to limit and mitigate such risks, there is no assurance that such policies and procedures will be effective, or that we will be able to manage such conflicts of interests adequately. If we fail to manage these conflicts of interests, or we receive unfavorable media coverage with respect to actual or perceived conflicts of interest, our business may be harmed and the brand, reputation and credibility of our company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substantial number of our employees work remotely. This subjects us to heightened operational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employees and service providers work from home. This subjects us to heightened operational risks.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may be less secure than those used in our offices. While we have implemented technical and administrative safeguards to help protect our systems as our employees and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providers work from home, we may be subject to increased cybersecurity risk, which could expose us to risks of data or financial loss, and could disrupt our business operations. There is no guarantee that the data security and privacy safeguards we have put in place will be completely effective or that we will not encounter risks associated with employees and service providers accessing company data and systems remotely.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Ownership of Our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could decline significantly and rapidly. Market volatility may affect the value of an investment in our Class A common stock and could subject us to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be highly volatile and may fluctuate substantially as a result of many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shares of our Class A common stock publicly owned and available for trading;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overall performance of the equity markets or publicly-listed financial services and technology companies and, in particular, companies in the digital assets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actual or anticipated operating performance and the operating performance of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operational and financial results we provide to the public or our failure to meet those projections;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major change in our board of directors, management, or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issue additional shares of capital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by us or our competitors of significant innovations, new products, services, features, integrations or capabilities, acquisitions, strategic investments, partnerships, or joint ventures;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events or factors, including those resulting from epidemics, pandemics, war, incidents of terrorism, or responses to these events.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markets have experienced extreme price and volume fluctuations. Broad market and industry factors may materially harm or otherwise influence the market price of our Class A common stock, regardless of our operating performance. For example, and in common with certain other public companies within the digital assets industry, our stock may be attractive to hedge or day-trading investors who often shift funds into and out of stocks rapidly, exacerbating price fluctuations in either direction. The market prices for digital asset companies have experienced significant volatility in recent periods, including both price and volume fluctuations, that often has been unrelated or disproportionate to the operating performance of such companies. If these trends were to impact us, the trading price of our Class A common stock may from time to time reflect market dynamics that are not connected to traditional valuation methods that might otherwise be associated with an operating company with a business model such as ours. Investors may therefore be unable to assess the value of our Class A common stock or evaluate the risks of an investment in us using traditional or commonly used enterprise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methods. We cannot predict the extent to which these dynamics will develop, how they may evolve over time, or whether or how long they may last. In the past, following periods of volatility in the market price of a company’s securities, securities class action litigation has often been instituted against that company. We are currently subject to a purported class action litigation and shareholder derivation actions as described in </w:t>
      </w:r>
      <w:r>
        <w:rPr>
          <w:rFonts w:ascii="Times New Roman;serif" w:hAnsi="Times New Roman;serif"/>
          <w:b w:val="false"/>
          <w:i/>
          <w:color w:val="000000"/>
          <w:sz w:val="20"/>
        </w:rPr>
        <w:t xml:space="preserve">Note 22. Commitments and Contingencies </w:t>
      </w:r>
      <w:r>
        <w:rPr>
          <w:rFonts w:ascii="Times New Roman;serif" w:hAnsi="Times New Roman;serif"/>
          <w:b w:val="false"/>
          <w:color w:val="000000"/>
          <w:sz w:val="20"/>
        </w:rPr>
        <w:t>to our unaudited condensed consolidated financial statements included elsewhere in this Quarterly Report on Form 10-Q, and may continue to be the target of this type of litigation in the future. Securities litigation against us could result in substantial costs and divert our management’s attention from other business concerns, which could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not obligated to, and do not intend to pay dividends or make other distributions with respect to any class of our common stock for the foreseeable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retain all of our available funds and earnings to fund the development and growth of our business. As a result, we do not expect to pay any cash dividends or make any other distributions in the foreseeable future. Consequently, investors of our Class A common stock may be unable to realize a gain on their investment except by selling such shares after price appreciation, which may never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significant discretion as to whether to make distributions. Even if our board of directors decides to declare and pay dividends or make other distributions, the timing, amount and form of future dividends or other distributions, if any, will depend on, among other things, our future results of operations and cash flow, applicable limitations under Nevada law, our financial condition and other factors deemed relevant by our board of directors. Because we are a holding company, our ability to pay dividends also depends on our receipt of cash dividends from our operating subsidiaries, which may be restricted in their ability to pay dividends as a result of the laws of their respective jurisdictions of organization, agreements of our subsidiaries or covenants under any existing and future outstanding indebtedness we or our subsidiaries incur.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by existing stockholders, or the perception that those sales may occur, could cause the market price of our Class A common stock to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or the perception that such sales may occur, could depress the market price of our Class A common stock. Issuing additional shares of our Class A common stock or other equity securities or securities convertible into equity may dilute the economic and voting rights of our existing stockholders or reduce the market price of our Class A common stock or both.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securities or industry analysts cease publishing research, or publish inaccurate or unfavorable research, about our business or our industry, the price of our Class A common stock and its liquidity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depends in part on the research and reports that securities or industry analysts publish about us, our business, or our industry. We do not have control over these analysts. If securities or industry analysts downgrade our Class A common stock or publish negative reports about our business, the price of our Class A common stock could decline. If one or more of these analysts cease coverage of us or fail to publish reports on us regularly, demand for our Class A common stock could decrease, which could cause the price or trading volume of our Class A common stock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You may be diluted by the future issuance of common stock, preferred stock, or securities convertible or exchangeable into common or preferred stock, in connection with our incentive plans, acquisitions, capital raises, or otherwise.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sell Class A common stock, convertible securities, or other equity securities, including preferred securities, in one or more transactions at prices and in a manner we determine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expect to issue Class A common stock to employees and directors pursuant to our Equity Plan and ESPP. If we sell Class A common stock, convertible securities, or other equity securities in subsequent transactions, or common stock is issued pursuant to equity incentive plans, stockholders may be materially diluted. New investors in subsequent transactions could gain rights, preferences, and privileges senior to those of holders of our 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Nevada law might discourage or delay attempts to acquire us that you might consider favorable.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articles of incorporation, amended and restated bylaws, and Nevada law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anti-takeover provisions could make it more difficult for a third party to acquire us, even if many of our stockholders are in favor of the third party’s offer.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 or control our management or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amended and restated articles of incorporation provides that the Eighth Judicial District Court of Clark County, Nevada (or if such court does not have jurisdiction, another state or the federal courts (as appropriate) located within the State of Nevada) is the sole and exclusive forum, and provide for a limited waiver of trial by jury, for certain stockholder litigation matters, which could limit our stockholders’ ability to obtain a favorable judicial forum for disputes with us or our directors, officers, employees, or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provides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amended and restated articles of incorporation or our amended and restated bylaws, any agreement entered into pursuant to NRS 78.365 or as to which the NRS confers jurisdiction on the district court of the State of Nevada, (d) to interpret, apply, enforce or determine the validity of our amended and restated articles of incorporation or our amended and restated bylaws, or (e) asserting a claim governed by the internal affairs doctrine; provided that such exclusive forum provisions will not apply to suits brought to enforce any liability or duty created by the Securities Exchange Act of 1934 (“Exchange Act”) or any other claim for which the U.S. federal courts have exclusive jurisdiction.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amended and restated articles of incorporation provides that, in the event that the Eighth Judicial District Court of Clark County, Nevada does not have jurisdiction over any such action, suit or proceeding, then any other state district court located in the State of Nevada will be the sole and exclusive forum and, in the event that no state district court in the State of Nevada has jurisdiction over any such action, suit or proceeding, then a federal district court of the United States located within the State of Nevada will be the sole and exclusive forum. Unless we consent otherwise to the selection of an alternative forum, the federal district courts of the United States will be the sole and exclusive forum for the resolution of any claim asserting a cause of action arising under the Securities Act, against any person in connection with any offering of the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further provides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amended and restated articles of incorporation) before the presiding judge as the trier of fact and not before a jury. Pursuant to NRS 78.046 (as amended effective May 30, 2025, pursuant to Assembly Bill No. 239), such requirement will conclusively operate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will not apply to claims brought under the Exchange Act, which are subject to exclusive federal jurisdiction, and will only apply to Securities Act claims if such claims are properly brought in state courts in the State of Nevada and constitute an “internal action” under NRS 78.046.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fullest extent permitted by applicable law, any person or entity purchasing or otherwise acquiring any interest in shares of our capital stock shall be deemed to have notice of and consented to the forum and limited jury waiver provisions in our amended and restated articles of incorporation, except our stockholders will not be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amended and restated articles of incorporation to be inapplicable or unenforceable in an action, we may incur additional costs associated with resolving such action in other jurisdictions or before a jury, which could harm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Limitations on director and officer liability and our indemnification of our directors and officers may discourage stockholders from bringing suit against a director or officer.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Nevada law provides that our directors and officers will not be individually liable to us or our stockholders or creditors for damages as a result of any act or failure to act in his or her capacity as a director or officer unless (i) the statutory presumption in his or her favor established by NRS 78.138(3) is rebutted, (ii) the act or failure to act constituted a breach of his or her fiduciary duties as a director or officer, and (iii) such breach involved intentional misconduct, fraud or a knowing violation of law. These provisions may discourage stockholders from bringing suit against a director or officer for breach of fiduciary duty and may reduce the likelihood of derivative litigation brought by stockholders on our behalf against a director or officer. In addition, our amended and restated articles of incorporation and amended and restated bylaws require indemnification of directors and officers to the fullest extent permitted by Nevada law.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co-founders control a majority of the voting power of shares eligible to vote in the election of our directors and on other matters submitted to a vote of our stockholders, and their interests may conflict with ours or yours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co-founders control the majority of the voting power of our outstanding common stock through their affiliates and consequently hold significant influence over the election of our directors and other matters submitted to a vote of our stockholders. For so long as our co-founders continue to beneficially own a significant percentage of our common stock through their affiliates, they will be able to influence the composition of our board of directors and the approval of actions requiring stockholder approval in ways that may conflict with the interests of us or our other stockholders. Accordingly, for such period of time, our co-founders will have significant influence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respect to our management, business plans, and policies, including the appointment and removal of our officers. In particular, our co-founders may be able to cause or prevent a change of control of us or a change in composition of our board of directors and could preclude any unsolicited acquisition of us. The concentration of voting power could deprive you of an opportunity to receive a premium for your shares of Class A common stock as part of the sale of the company and ultimately might affect the market price of our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multiple class structure of our common stock may adversely affect the trading market for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whether our multiple class structure of our common stock with different voting rights will result in a lower or more volatile market price of our Class A common stock, adverse publicity, or other adverse consequences. Certain index providers have announced restrictions on including companies with multiple class share structures in certain of their indices. Because of our multiple class structure, we may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our Class A common stock less attractive to investors. In addition, several stockholder advisory firms have announced their opposition to the use of multiple class structures and our multiple class structure may cause stockholders advisory firms to publish negative commentary about our corporate governance, in which case the market price and liquidity of our Class A common stock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as defined under the corporate governance rules of Nasdaq and, as a result, qualify for exemptions from certain corporate governance requirements of Nasdaq.</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co-founders control a majority of our voting power.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those that would otherwise require our board of directors to establish a compensation committee and nominating committee comprised entirely of independent directors. While we have a compensation committee and a nomination committee, as a controlled company neither of these committees is composed entirely of independent directors. As such, you do not have the same protections afforded to stockholders of companies that are subject to all of Nasdaq’s rules.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qualify as an emerging growth company, and any decision on our part to comply with reduced reporting and disclosure requirements applicable to emerging growth companies could make our common stock less attractive to investors.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last day of the fiscal year in which we have total annual gross revenues of $1.235 billion or more; (ii) December 31, 2030; (iii) the date on which we have issued more than $1.0 billion in nonconvertible debt during the previous three years; and (iv) the date on which we are deemed to be a large accelerated filer under the rules of the SEC.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investors will find our Class A common stock less attractive if we choose to rely on these exemptions while we are an emerging growth company. Under the JOBS Act, emerging growth companies can also delay adopting new or revised accounting standards until such time as those standards apply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our estimates or judgment relating to our critical accounting estimates prove to be incorrect, our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See “</w:t>
      </w:r>
      <w:r>
        <w:rPr>
          <w:rFonts w:ascii="Times New Roman;serif" w:hAnsi="Times New Roman;serif"/>
          <w:b w:val="false"/>
          <w:i/>
          <w:color w:val="000000"/>
          <w:sz w:val="20"/>
        </w:rPr>
        <w:t>Management’s Discussion and Analysis of Financial Condition and Results of Operations—Critical Accounting Policies and Estimates</w:t>
      </w:r>
      <w:r>
        <w:rPr>
          <w:rFonts w:ascii="Times New Roman;serif" w:hAnsi="Times New Roman;serif"/>
          <w:b w:val="false"/>
          <w:color w:val="000000"/>
          <w:sz w:val="20"/>
        </w:rPr>
        <w:t>.”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evaluation of tax positions, inter-company transactions, and the valuation of stock-based awards and digital assets we hold, among others. Our operating results may be adversely affected if our assumptions change or if actual circumstances differ from those in our assumptions, which could cause our operating results to fall below the expectations of analysts and investors, resulting in a decline in the trading price of our 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funded our operations since inception primarily through equity financings, debt, and revenue generated by our product and service offerings. We cannot be certain when or if our operations will generate sufficient cash to fully fund our ongoing operations or the growth of our business. We intend to continue to make investments in our business, including developing new products and services, enhancing our operating infrastructure, expanding our international operations, and acquiring complementary businesses and technologies, all of which may require us to secure additional funds. Additional financing may not be available on terms favorable to us, if at all. If we incur additional debt, debt holders may have rights senior to holders of our common stock to make claims on our assets, and the terms of any debt could restrict our operations, including our ability to pay dividends on or make other distributions with respect to our common stock. Furthermore, our amended and restated articles of incorporation authorize the issuance of “blank check” preferred stock that our board of directors could use to, among other things, issue shares of our capital stock or implement a stockholder rights plan. We may issue shares of capital stock to our users in connection with user reward or loyalty programs. If we issue additional equity securities, stockholders will experience dilution, and the newly issued securities could gain rights, preferences, and privileges senior to those of holders of our Class A common stock. The trading price for our Class A common stock may also be highly volatile, which may reduce our ability to access capital on favorable terms or at all. Currently, certain of our existing financing arrangements are collateralized by bitcoin and require us to maintain specified collateralization levels. A decline in the price of bitcoin could require us to post additional bitcoin or cash or repay outstanding amounts on short notice, which could reduce our liquidity and adversely affect our financial condition. In general, a slowdown or other sustained adverse downturn in the general economic or digital asset markets could adversely affect our business and the trading price of our Class A common stock. Because our decision to raise capital in the future will depend on numerous considerations, including factors beyond our control, we cannot predict or estimate the amount, timing, or nature of any future issuances of securities. As a result, our stockholders bear the risk of future issuances of convertible debt or equity securities reducing the trading price of our Class A common stock and diluting their interests. Our inability to obtain adequate financing or financing on terms satisfactory to us, when we require it, could significantly limit our ability to continue supporting our business growth and responding to business challenges.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historically relied on related party financing and we may not be able to secure comparable financing in the future.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to equity financings and revenue generated by our product and service offerings, we have historically relied on related party loans, primarily from Winklevoss Capital Fund, LLC, to fund certain aspects of our business. While we expect to reduce our reliance on related party financing as an ongoing source of new funding for the business, a portion of our related party indebtedness remains outstanding and we may in the future enter into related party transactions with WCF in connection with liquidity, capital, or operational needs, such as the Private Placement. As of June 30, 2026, repayment obligations in respect of 0 ether and 4,419 bitcoin remained outstanding under agreements with WCF that we previously entered into. These loans bear loan fees ranging from 4% to 8% per annum and, for the three months ended June 30, 2026 and 2025, we incurred approximately $6.0 million and $30.2 million, respectively, in loan fees under these agreements. For more information on these lending agreements, see “</w:t>
      </w:r>
      <w:r>
        <w:rPr>
          <w:rFonts w:ascii="Times New Roman;serif" w:hAnsi="Times New Roman;serif"/>
          <w:b w:val="false"/>
          <w:i/>
          <w:color w:val="000000"/>
          <w:sz w:val="20"/>
        </w:rPr>
        <w:t>Management’s Discussion and Analysis of Financial Condition and Results of Operations—Liquidity and Capital Resources—Indebtedness and Other Funding Arrangements—Lending Agreements.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these transactions have been a source of liquidity and capital for us historically, we cannot assure you whether WCF will continue to provide such financing, the extent to which we will continue to require similar financing arrangements to provide us with sufficient liquidity and capital, or that future loans, if any, will be made on the same or comparable terms, and we may be required to raise additional capital on less favorable terms. An interruption in related party financing could accordingly impair our ability to preserve sufficient operational and financial flexibility or fund growth, strategic, and development initiatives. Moreover, although we believe the terms of the WCF transactions are reasonable and in the best interests of the Company, and indicate our co-founders’ long-term commitment to the business, any perceived reliance on such related party transactions may be viewed negatively by investors, regulators, or potential business partners, or may raise concerns regarding actual or perceived conflicts of interest that could give rise to scrutiny, litigation, or reputational harm.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Nasdaq, and other applicable securities rules and regulations. Stockholder activism, the current political and social environment, and regulatory reform may lead to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previously identified material weaknesses in our internal control over financial reporting. If we are unable to remediate these material weaknesses, experience additional material weaknesses in the future or otherwise fail to implement and maintain an effective system of internal controls, we may not be able to accurately or timely report our financial condition or operating results, which may adversely affect investor confidence in us and, as a result, the value of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with SEC reporting obligations, we are required to document and test our internal control procedures to satisfy the requirements of Section 404(a) of the Sarbanes-Oxley Act, which will require annual assessments by management of the effectiveness of our internal control over financial reporting beginning with our second annual report on Form 10-K. Although we are an emerging growth company, and thus we are exempt from the auditor attestation requirement of Section 404(b) of Sarbanes-Oxley until such time as we no longer qualify as an emerging growth company, we expect to incur significant expenses and devote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effort toward ensuring compliance with the auditor attestation requirements of Section 404 of the Sarbanes-Oxley Act if we lose our status as an emerging growth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IPO in 2025,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identified pertain to the following: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concluded that these material weaknesses existed because, as a private company, we did not have the necessary business processes, systems, personnel, and related internal controls necessary to satisfy the accounting and financial reporting requirements of a public company. 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COSO framework and Internal Control over Financial Reporting standards; enhancing the review of journal entries and account reconciliations, including digital asset reconciliations; and retaining the services of third-party consultants to supplement our technical competencies and expertise.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will not be able to fully remediate these material weaknesses until these steps have been completed and have been operating effectively for a sufficient period of time. These remediation measures will be time-consuming and require financial and operational resources, and we cannot assure you that the measures we have taken to date, and actions we may take in the future, will be sufficient to remediate the control deficiencies that led to material weaknesses in our internal controls over financial reporting. Additionally, we cannot assure you that we have identified all, or that we will not in the future have additional, material weaknesses. If one or more of the material weaknesses that we have identified, or any future material weaknesses, are not remediated, they could result in a material misstatement of our annual or interim financial statements that might not be prevented or detected and could also impair our ability to comply with applicable financial reporting requirements and related regulatory filings on a timely basis. Additionally, ineffective internal control over financial reporting could expose us to increased risk of fraud or misuse of corporate assets and subject us to potential delisting from the stock exchange on which we list. Material weaknesses may still exist when we report on the effectiveness of our internal control over financial reporting as required under Section 404 of the Sarbanes-Oxley Act. The process of designing and implementing internal control over financial reporting required to comply with the disclosure and attestation requirements of Section 404 of the Sarbanes-Oxley Act will be time consuming and costly. If we identify future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Class A common stock could decline, and we could also become subject to investigations by the SEC or other regulatory authorities, which could require additional financial and management resources. Failure to remedy any material weakness in our internal control over financial reporting,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implement or maintain other effective control systems required of public companies, could also restrict our future access to the capital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adversely affected by natural disasters, pandemics, and other catastrophic events, and by man-made problems such as terrorism, that could disrupt our business operations,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Natural disasters or other catastrophic events may cause damage or disruption to our operations, international commerce, and the global economy, and could have an adverse effect on our business, operating results, and financial condition. Our business operations are subject to interruption by natural disasters, fire, power shortages, and other events beyond our control. In addition, our global operations expose us to risks associated with public health crises, such as pandemics and epidemics, which could harm our business and cause our operating results to suffer. Further, acts of terrorism, labor activism or unrest, and other geopolitical unrest (including an outbreak of armed conflict, such as the Russia-Ukraine and the Middle East conflicts)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We do not maintain insurance sufficient to compensate us for the potentially significant losses that could result from disruptions to our services. Additionally, all the aforementioned risks may be further increased if we do not implement a disaster recovery plan or our third-party partners’ disaster recovery plans prove to be inadequate. To the extent natural disasters or other catastrophic events concurrently impact data centers we rely on in connection with private key restoration, users will experience significant delays in withdrawing funds, or in the extreme, we may suffer loss of user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Key business metrics and other estimates are subject to inherent challenges in measurement and change as our business evolves, and our business, operating results, and financial condition could be adversely affected by real or perceived inaccuracies in those metrics or any changes in metrics we disclose.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review key business metrics to evaluate growth trends, measure our performance, and make strategic decisions. These key business metrics are calculated using internal company data and have not been validated by an independent third party. While these metrics are based on what we believe to be reasonable estimates for the applicable period of measurement at the time of reporting, there are inherent challenges in such measurements. If we fail to maintain an effective analytics platform, our key business metrics calculations may be inaccurate, and we may not be able to identify those inaccuracies. Additionally, we have in the past and may in the future, calculate key business metrics using third-party data. While we believe the third-party data we have used in the past or may use in the future is reliable, we have not independently verified and may not in the future independently verify the accuracy or completeness of the data contained in such sources and there can be no assurance that such data is free of error. Any inaccuracy in the third-party data we use could cause us to overstate or understate our key business metrics. We regularly review our processes for calculating these metrics, and from time to time we make adjustments to improve their accuracy.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certain of our key business metrics, such as MTUs, LTUs, and Card Sign-Ups, are measured at a point in time and, as our products and internal processes for calculating these metrics evolve over time, a previously reported number could fluctuate and may no longer be representative. Further, these metrics may be subject to overstatement — for example, our MTU and LTU metrics may overstate the number of unique users who have registered an account on our platform, as one user may register for and use, intentionally or inadvertently, multiple accounts with different email addresses, phone numbers, or usernames, and similarly, Card Sign-Ups may not reflect the impact of subsequent account closures, including customer-requested closures and closures by Gemini for suspected or confirmed fraud, failure to satisfy card program eligibility requirements, or other risk-management, compliance, or administrative reasons. If our metrics provide us with incorrect or incomplete information about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users and their behavior, we may make inaccurate conclusions about our business. We regularly deactivate fraudulent and spam accounts that violate our terms of use and exclude these users from the calculation of our key business metrics, however, we may not succeed in identifying and removing all such accounts from our platform. We generally will not update previously disclosed key business metrics for any such inaccuracies or adjustments that are immaterial.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change our key business metrics from time to time, which may be perceived negatively. Given the rapid evolution of the digital asset markets and our revenue sources, we regularly evaluate whether our key business metrics remain meaningful indicators of the performance of our business. As a result of these evaluations, in the past we have decided to make changes, and in the future may make additional changes, to our key business metrics, including eliminating or replacing existing metrics.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 of Equity Securities and Use of Proceeds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issue or sell any unregistered securities that were not otherwise previously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Section 16 officer adopted, modified or terminated any Rule 10b5-1 trading arrangements or non-Rule 10b5-1 trading arrangements, as each term is defined in Item 408 of Regulation S-K, except for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18, 2026, the Company adopted an automatic sell-to-cover policy (the “Automatic Sell-to-Cover Policy”) that is intended to satisfy the affirmative defense conditions of Rule 10b5-1(c) under the Exchange Act. The Automatic Sell-to-Cover Policy applies to all employees—including Section 16 officers—for whom the Company can legally and administratively satisfy applicable tax withholding obligations through automatic sell-to-cover transactions and provides for the mandatory sale of shares of Class A common stock otherwise issuable upon the vesting and settlement of equity grants made under the Company’s 2025 Omnibus Incentive Plan (as may be amended from time to time, and any successor plan or plans providing for the grant of equity awards to service providers to the Company or any subsidiary) in an amount sufficient to cover the federal, state, local and foreign tax withholding obligations incurred in connection with such vesting and settlement. The actual number of shares to be sold will vary based on futures events, including applicable tax withholding rates and the market price of the Class A common stock. The Automatic Sell-to-Cover Policy has no durational limit.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4"/>
        <w:gridCol w:w="303"/>
        <w:gridCol w:w="304"/>
        <w:gridCol w:w="1835"/>
        <w:gridCol w:w="1710"/>
        <w:gridCol w:w="1729"/>
        <w:gridCol w:w="175"/>
        <w:gridCol w:w="175"/>
        <w:gridCol w:w="176"/>
        <w:gridCol w:w="304"/>
        <w:gridCol w:w="267"/>
        <w:gridCol w:w="174"/>
        <w:gridCol w:w="225"/>
        <w:gridCol w:w="225"/>
        <w:gridCol w:w="226"/>
        <w:gridCol w:w="220"/>
        <w:gridCol w:w="220"/>
        <w:gridCol w:w="222"/>
        <w:gridCol w:w="400"/>
        <w:gridCol w:w="400"/>
        <w:gridCol w:w="571"/>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5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Amended and Restated Articles of Incorporation of Gemini Space Station, Inc.</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 xml:space="preserve">Amended and Restated Bylaws of Gemini Space Station, Inc. </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Form of Class A Common Stock Certificate</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Registration Rights Agreement, dated September 12, 2025, by and among Gemini Space Station, Inc. and certain of its stockholders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11/20/2025</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Amendment No. 1 to Registration Rights Agreement, dated May 14, 2026</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5/14/2026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Securities Purchase Agreement, dated as of May 14, 2026, by and between Gemini Space Station, Inc. and Winklevoss Capital Fund, LLC</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5/14/2026</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q22026.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q22026.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q22026.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q22026.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527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6"/>
        </w:rPr>
        <w:t>Indicates a management contract or compensatory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46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222"/>
        <w:gridCol w:w="1222"/>
        <w:gridCol w:w="17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Gemini Space Station,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Tyler Winklevoss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Danijela Stojanovic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Tyler Winklevoss,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Gemini Space Station,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6131" w:type="dxa"/>
        <w:jc w:val="left"/>
        <w:tblInd w:w="0" w:type="dxa"/>
        <w:tblLayout w:type="fixed"/>
        <w:tblCellMar>
          <w:top w:w="28" w:type="dxa"/>
          <w:left w:w="28" w:type="dxa"/>
          <w:bottom w:w="28" w:type="dxa"/>
          <w:right w:w="28" w:type="dxa"/>
        </w:tblCellMar>
      </w:tblPr>
      <w:tblGrid>
        <w:gridCol w:w="361"/>
        <w:gridCol w:w="317"/>
        <w:gridCol w:w="317"/>
        <w:gridCol w:w="317"/>
        <w:gridCol w:w="317"/>
        <w:gridCol w:w="317"/>
        <w:gridCol w:w="1224"/>
        <w:gridCol w:w="1224"/>
        <w:gridCol w:w="1737"/>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Tyler Winklevoss </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Danijela Stojanovic,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Gemini Space Station,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4586" w:type="dxa"/>
        <w:jc w:val="left"/>
        <w:tblInd w:w="0" w:type="dxa"/>
        <w:tblLayout w:type="fixed"/>
        <w:tblCellMar>
          <w:top w:w="28" w:type="dxa"/>
          <w:left w:w="28" w:type="dxa"/>
          <w:bottom w:w="28" w:type="dxa"/>
          <w:right w:w="28" w:type="dxa"/>
        </w:tblCellMar>
      </w:tblPr>
      <w:tblGrid>
        <w:gridCol w:w="361"/>
        <w:gridCol w:w="317"/>
        <w:gridCol w:w="317"/>
        <w:gridCol w:w="317"/>
        <w:gridCol w:w="317"/>
        <w:gridCol w:w="317"/>
        <w:gridCol w:w="772"/>
        <w:gridCol w:w="772"/>
        <w:gridCol w:w="1096"/>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Danijela Stojanovic </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Gemini Space Station, Inc., a Nevada corporation (the “Company”), for the quarter ended June 30, 2026, as filed with the Securities and Exchange Commission on the date hereof (the “Report”), Tyler Winklevoss, Chief Executive Officer of the Company, hereby certifies, pursuant to 18 U.S.C. Section 1350, as adopted pursuant to Section 906 of the Sarbanes-Oxley Act of 2002, that, to the best of his knowledge: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6131" w:type="dxa"/>
        <w:jc w:val="left"/>
        <w:tblInd w:w="0" w:type="dxa"/>
        <w:tblLayout w:type="fixed"/>
        <w:tblCellMar>
          <w:top w:w="28" w:type="dxa"/>
          <w:left w:w="28" w:type="dxa"/>
          <w:bottom w:w="28" w:type="dxa"/>
          <w:right w:w="28" w:type="dxa"/>
        </w:tblCellMar>
      </w:tblPr>
      <w:tblGrid>
        <w:gridCol w:w="361"/>
        <w:gridCol w:w="317"/>
        <w:gridCol w:w="317"/>
        <w:gridCol w:w="317"/>
        <w:gridCol w:w="317"/>
        <w:gridCol w:w="317"/>
        <w:gridCol w:w="1224"/>
        <w:gridCol w:w="1224"/>
        <w:gridCol w:w="1737"/>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Tyler Winklevoss </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Gemini Space Station, Inc., a Nevada corporation (the “Company”), for the quarter ended June 30, 2026, as filed with the Securities and Exchange Commission on the date hereof (the “Report”), Danijela Stojanovic, Interim Chief Financial Officer of the Company, hereby certifies, pursuant to 18 U.S.C. Section 1350, as adopted pursuant to Section 906 of the Sarbanes-Oxley Act of 2002, that, to the best of his knowledge: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586" w:type="dxa"/>
        <w:jc w:val="left"/>
        <w:tblInd w:w="0" w:type="dxa"/>
        <w:tblLayout w:type="fixed"/>
        <w:tblCellMar>
          <w:top w:w="28" w:type="dxa"/>
          <w:left w:w="28" w:type="dxa"/>
          <w:bottom w:w="28" w:type="dxa"/>
          <w:right w:w="28" w:type="dxa"/>
        </w:tblCellMar>
      </w:tblPr>
      <w:tblGrid>
        <w:gridCol w:w="361"/>
        <w:gridCol w:w="317"/>
        <w:gridCol w:w="317"/>
        <w:gridCol w:w="317"/>
        <w:gridCol w:w="317"/>
        <w:gridCol w:w="317"/>
        <w:gridCol w:w="772"/>
        <w:gridCol w:w="772"/>
        <w:gridCol w:w="1096"/>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Danijela Stojanovic </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both"/>
        <w:rPr/>
      </w:pPr>
      <w:r>
        <w:rPr/>
      </w:r>
    </w:p>
    <w:p>
      <w:pPr>
        <w:pStyle w:val="TextBody"/>
        <w:bidi w:val="0"/>
        <w:ind w:left="0" w:right="0" w:firstLine="72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5592/000110465925090073/tm255912d37_ex3-1.htm" TargetMode="External"/><Relationship Id="rId3" Type="http://schemas.openxmlformats.org/officeDocument/2006/relationships/hyperlink" Target="https://www.sec.gov/Archives/edgar/data/2055592/000110465925090073/tm255912d37_ex3-2.htm" TargetMode="External"/><Relationship Id="rId4" Type="http://schemas.openxmlformats.org/officeDocument/2006/relationships/hyperlink" Target="https://www.sec.gov/Archives/edgar/data/2055592/000110465925079323/tm255912d13_ex4-1.htm" TargetMode="External"/><Relationship Id="rId5" Type="http://schemas.openxmlformats.org/officeDocument/2006/relationships/hyperlink" Target="https://www.sec.gov/Archives/edgar/data/2055592/000205559225000009/exhibit42gemini-regrightsa.htm" TargetMode="External"/><Relationship Id="rId6" Type="http://schemas.openxmlformats.org/officeDocument/2006/relationships/hyperlink" Target="https://www.sec.gov/Archives/edgar/data/2055592/000205559226000048/gemini-amendmenttoregistra.htm" TargetMode="External"/><Relationship Id="rId7" Type="http://schemas.openxmlformats.org/officeDocument/2006/relationships/hyperlink" Target="https://www.sec.gov/Archives/edgar/data/2055592/000205559226000048/gemini-spamay2026exhibi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86211</Words>
  <Characters>484070</Characters>
  <CharactersWithSpaces>566677</CharactersWithSpaces>
  <Paragraphs>6342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