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5624.xml.htm"/>
      <w:bookmarkStart w:id="1" w:name="kswkform4_17876056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Stojanovic Danijela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THIRD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Gemini Space Station, Inc.</w:t>
              </w:r>
            </w:hyperlink>
            <w:r>
              <w:rPr/>
              <w:t xml:space="preserve"> [ </w:t>
            </w:r>
            <w:r>
              <w:rPr>
                <w:rFonts w:ascii="Times;serif" w:hAnsi="Times;serif"/>
                <w:color w:val="0000FF"/>
                <w:sz w:val="24"/>
                <w:shd w:fill="FFFFFF" w:val="clear"/>
              </w:rPr>
              <w:t>GEMI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7,940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187,923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sold solely to cover tax withholding obligations in connection with the vesting and settlement of RSUs. The sale was effected pursuant to the issuer's Automatic Sell-to-Cover Policy, which is intended to satisfy the affirmative defense conditions of Rule 10b5-1(c),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$3.93 to $4.25.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Danijela Stojanovic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2883" TargetMode="External"/><Relationship Id="rId5" Type="http://schemas.openxmlformats.org/officeDocument/2006/relationships/hyperlink" Target="http://www.sec.gov/cgi-bin/browse-edgar?action=getcompany&amp;CIK=00020555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3765</Characters>
  <CharactersWithSpaces>4390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