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75956.xml.htm"/>
      <w:bookmarkStart w:id="1" w:name="kswkform4_17833759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Stojanovic Danijela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THIRD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Gemini Space Station, Inc.</w:t>
              </w:r>
            </w:hyperlink>
            <w:r>
              <w:rPr/>
              <w:t xml:space="preserve"> [ </w:t>
            </w:r>
            <w:r>
              <w:rPr>
                <w:rFonts w:ascii="Times;serif" w:hAnsi="Times;serif"/>
                <w:color w:val="0000FF"/>
                <w:sz w:val="24"/>
                <w:shd w:fill="FFFFFF" w:val="clear"/>
              </w:rPr>
              <w:t>GEMI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Interim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73"/>
        <w:gridCol w:w="453"/>
        <w:gridCol w:w="712"/>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22,453</w:t>
            </w:r>
            <w:r>
              <w:rPr>
                <w:rFonts w:ascii="Times;serif" w:hAnsi="Times;serif"/>
                <w:color w:val="008000"/>
                <w:position w:val="7"/>
                <w:sz w:val="16"/>
                <w:sz w:val="20"/>
                <w:shd w:fill="FFFFFF" w:val="clear"/>
              </w:rPr>
              <w:t>(1)</w:t>
            </w:r>
            <w:r>
              <w:rPr/>
              <w:t xml:space="preserve"> </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204,301</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8,438</w:t>
            </w:r>
            <w:r>
              <w:rPr>
                <w:rFonts w:ascii="Times;serif" w:hAnsi="Times;serif"/>
                <w:color w:val="008000"/>
                <w:position w:val="7"/>
                <w:sz w:val="16"/>
                <w:sz w:val="20"/>
                <w:shd w:fill="FFFFFF" w:val="clear"/>
              </w:rPr>
              <w:t>(2)</w:t>
            </w:r>
            <w:r>
              <w:rPr/>
              <w:t xml:space="preserve"> </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4.44</w:t>
            </w:r>
            <w:r>
              <w:rPr>
                <w:rFonts w:ascii="Times;serif" w:hAnsi="Times;serif"/>
                <w:color w:val="008000"/>
                <w:position w:val="7"/>
                <w:sz w:val="16"/>
                <w:sz w:val="20"/>
                <w:shd w:fill="FFFFFF" w:val="clear"/>
              </w:rPr>
              <w:t>(3)</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195,863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22,453 restricted stock units ("RSUs"), which immediately vest in full. Each RSU represents a contingent right to receive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Class A common stock sold solely to cover tax withholding obligations in connection with the vesting and settlement of RSUs. The sale was effected pursuant to the issuer's sell-to-cover procedures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the weighted average price. These shares were sold in multiple transactions at prices ranging from $4.13 to $4.87.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Danijela Stojanovic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2883" TargetMode="External"/><Relationship Id="rId5" Type="http://schemas.openxmlformats.org/officeDocument/2006/relationships/hyperlink" Target="http://www.sec.gov/cgi-bin/browse-edgar?action=getcompany&amp;CIK=00020555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720</Words>
  <Characters>3868</Characters>
  <CharactersWithSpaces>4519</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