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FORM 10-Q</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16"/>
        </w:rPr>
        <w:t>QUARTERLY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March 31,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16"/>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16"/>
        </w:rPr>
        <w:t>Commission file number</w:t>
      </w:r>
      <w:r>
        <w:rPr>
          <w:color w:val="000000"/>
          <w:shd w:fill="FFFFFF" w:val="clear"/>
        </w:rPr>
        <w:t xml:space="preserve"> </w:t>
      </w:r>
      <w:r>
        <w:rPr>
          <w:rFonts w:ascii="Times New Roman;serif" w:hAnsi="Times New Roman;serif"/>
          <w:b/>
          <w:color w:val="000000"/>
          <w:sz w:val="16"/>
          <w:shd w:fill="FFFFFF" w:val="clear"/>
        </w:rPr>
        <w:t>001-42836</w:t>
      </w:r>
    </w:p>
    <w:p>
      <w:pPr>
        <w:pStyle w:val="TextBody"/>
        <w:bidi w:val="0"/>
        <w:spacing w:lineRule="auto" w:line="417" w:before="0" w:after="0"/>
        <w:jc w:val="center"/>
        <w:rPr>
          <w:rFonts w:ascii="Times New Roman;serif" w:hAnsi="Times New Roman;serif"/>
          <w:b/>
          <w:color w:val="000000"/>
          <w:sz w:val="26"/>
        </w:rPr>
      </w:pPr>
      <w:r>
        <w:rPr>
          <w:rFonts w:ascii="Times New Roman;serif" w:hAnsi="Times New Roman;serif"/>
          <w:b/>
          <w:color w:val="000000"/>
          <w:sz w:val="26"/>
        </w:rPr>
        <w:t>______________________________</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Gemini Space Station,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417" w:before="0" w:after="120"/>
        <w:jc w:val="center"/>
        <w:rPr>
          <w:rFonts w:ascii="Times New Roman;serif" w:hAnsi="Times New Roman;serif"/>
          <w:b/>
          <w:color w:val="000000"/>
          <w:sz w:val="26"/>
        </w:rPr>
      </w:pPr>
      <w:r>
        <w:rPr>
          <w:rFonts w:ascii="Times New Roman;serif" w:hAnsi="Times New Roman;serif"/>
          <w:b/>
          <w:color w:val="000000"/>
          <w:sz w:val="26"/>
        </w:rPr>
        <w:t>______________________________</w:t>
      </w:r>
    </w:p>
    <w:tbl>
      <w:tblPr>
        <w:tblW w:w="8682" w:type="dxa"/>
        <w:jc w:val="left"/>
        <w:tblInd w:w="0" w:type="dxa"/>
        <w:tblLayout w:type="fixed"/>
        <w:tblCellMar>
          <w:top w:w="28" w:type="dxa"/>
          <w:left w:w="28" w:type="dxa"/>
          <w:bottom w:w="28" w:type="dxa"/>
          <w:right w:w="28" w:type="dxa"/>
        </w:tblCellMar>
      </w:tblPr>
      <w:tblGrid>
        <w:gridCol w:w="1799"/>
        <w:gridCol w:w="1581"/>
        <w:gridCol w:w="1585"/>
        <w:gridCol w:w="109"/>
        <w:gridCol w:w="109"/>
        <w:gridCol w:w="109"/>
        <w:gridCol w:w="992"/>
        <w:gridCol w:w="992"/>
        <w:gridCol w:w="1406"/>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Nevada</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33-3263417</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600 Third Avenue</w:t>
            </w:r>
            <w:r>
              <w:rPr>
                <w:rFonts w:ascii="Times New Roman;serif" w:hAnsi="Times New Roman;serif"/>
                <w:b w:val="false"/>
                <w:color w:val="000000"/>
                <w:sz w:val="20"/>
              </w:rPr>
              <w:t xml:space="preserve">, </w:t>
            </w:r>
            <w:r>
              <w:rPr>
                <w:rFonts w:ascii="Times New Roman;serif" w:hAnsi="Times New Roman;serif"/>
                <w:b/>
                <w:color w:val="000000"/>
                <w:sz w:val="20"/>
              </w:rPr>
              <w:t>2nd Floor</w:t>
            </w:r>
            <w:r>
              <w:rPr>
                <w:rFonts w:ascii="Times New Roman;serif" w:hAnsi="Times New Roman;serif"/>
                <w:b w:val="false"/>
                <w:color w:val="000000"/>
                <w:sz w:val="20"/>
              </w:rPr>
              <w:t xml:space="preserve">, </w:t>
            </w:r>
            <w:r>
              <w:rPr>
                <w:rFonts w:ascii="Times New Roman;serif" w:hAnsi="Times New Roman;serif"/>
                <w:b/>
                <w:color w:val="000000"/>
                <w:sz w:val="20"/>
              </w:rPr>
              <w:t>New York</w:t>
            </w:r>
            <w:r>
              <w:rPr>
                <w:rFonts w:ascii="Times New Roman;serif" w:hAnsi="Times New Roman;serif"/>
                <w:b w:val="false"/>
                <w:color w:val="000000"/>
                <w:sz w:val="20"/>
              </w:rPr>
              <w:t xml:space="preserve">, </w:t>
            </w:r>
            <w:r>
              <w:rPr>
                <w:rFonts w:ascii="Times New Roman;serif" w:hAnsi="Times New Roman;serif"/>
                <w:b/>
                <w:color w:val="000000"/>
                <w:sz w:val="20"/>
              </w:rPr>
              <w:t xml:space="preserve">NY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10016</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86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(646) 751-4401</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10205" w:type="dxa"/>
        <w:jc w:val="left"/>
        <w:tblInd w:w="0" w:type="dxa"/>
        <w:tblLayout w:type="fixed"/>
        <w:tblCellMar>
          <w:top w:w="28" w:type="dxa"/>
          <w:left w:w="28" w:type="dxa"/>
          <w:bottom w:w="28" w:type="dxa"/>
          <w:right w:w="28" w:type="dxa"/>
        </w:tblCellMar>
      </w:tblPr>
      <w:tblGrid>
        <w:gridCol w:w="1310"/>
        <w:gridCol w:w="1076"/>
        <w:gridCol w:w="1089"/>
        <w:gridCol w:w="1242"/>
        <w:gridCol w:w="1242"/>
        <w:gridCol w:w="1246"/>
        <w:gridCol w:w="877"/>
        <w:gridCol w:w="877"/>
        <w:gridCol w:w="1246"/>
      </w:tblGrid>
      <w:tr>
        <w:trPr/>
        <w:tc>
          <w:tcPr>
            <w:tcW w:w="131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7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4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of $0.001 per share</w:t>
            </w:r>
          </w:p>
        </w:tc>
        <w:tc>
          <w:tcPr>
            <w:tcW w:w="3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GEMI</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22" w:type="dxa"/>
        <w:jc w:val="center"/>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09"/>
        <w:gridCol w:w="675"/>
        <w:gridCol w:w="675"/>
        <w:gridCol w:w="9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Non-accelerated filer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 </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As of May 8, 2026, the registrant had outstanding 44,163,149 and 75,126,784 of shares of Class A and Class B common stock, respectively, each with a par value of $0.001. </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 use this address for receiving mail and correspondence to our principal executive office located in New York, 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9195" w:type="dxa"/>
        <w:jc w:val="left"/>
        <w:tblInd w:w="0" w:type="dxa"/>
        <w:tblLayout w:type="fixed"/>
        <w:tblCellMar>
          <w:top w:w="28" w:type="dxa"/>
          <w:left w:w="28" w:type="dxa"/>
          <w:bottom w:w="28" w:type="dxa"/>
          <w:right w:w="28" w:type="dxa"/>
        </w:tblCellMar>
      </w:tblPr>
      <w:tblGrid>
        <w:gridCol w:w="3127"/>
        <w:gridCol w:w="2744"/>
        <w:gridCol w:w="2753"/>
        <w:gridCol w:w="167"/>
        <w:gridCol w:w="167"/>
        <w:gridCol w:w="237"/>
      </w:tblGrid>
      <w:tr>
        <w:trPr/>
        <w:tc>
          <w:tcPr>
            <w:tcW w:w="3127"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62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94">
              <w:r>
                <w:rPr>
                  <w:rStyle w:val="InternetLink"/>
                  <w:rFonts w:ascii="Times New Roman;serif" w:hAnsi="Times New Roman;serif"/>
                  <w:b/>
                  <w:color w:val="0000FF"/>
                  <w:sz w:val="20"/>
                  <w:u w:val="single"/>
                </w:rPr>
                <w:t>Part I - Financial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94">
              <w:r>
                <w:rPr>
                  <w:rStyle w:val="InternetLink"/>
                  <w:rFonts w:ascii="Times New Roman;serif" w:hAnsi="Times New Roman;serif"/>
                  <w:b w:val="false"/>
                  <w:color w:val="0000FF"/>
                  <w:sz w:val="20"/>
                  <w:u w:val="single"/>
                </w:rPr>
                <w:t>Item 1. Financial Statements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94">
              <w:r>
                <w:rPr>
                  <w:rStyle w:val="InternetLink"/>
                  <w:rFonts w:ascii="Times New Roman;serif" w:hAnsi="Times New Roman;serif"/>
                  <w:b w:val="false"/>
                  <w:color w:val="0000FF"/>
                  <w:sz w:val="20"/>
                  <w:u w:val="single"/>
                </w:rPr>
                <w:t>4</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94">
              <w:r>
                <w:rPr>
                  <w:rStyle w:val="InternetLink"/>
                  <w:rFonts w:ascii="Times New Roman;serif" w:hAnsi="Times New Roman;serif"/>
                  <w:b w:val="false"/>
                  <w:color w:val="0000FF"/>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94">
              <w:r>
                <w:rPr>
                  <w:rStyle w:val="InternetLink"/>
                  <w:rFonts w:ascii="Times New Roman;serif" w:hAnsi="Times New Roman;serif"/>
                  <w:b w:val="false"/>
                  <w:color w:val="0000FF"/>
                  <w:sz w:val="20"/>
                  <w:u w:val="single"/>
                </w:rPr>
                <w:t>4</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97">
              <w:r>
                <w:rPr>
                  <w:rStyle w:val="InternetLink"/>
                  <w:rFonts w:ascii="Times New Roman;serif" w:hAnsi="Times New Roman;serif"/>
                  <w:b w:val="false"/>
                  <w:color w:val="0000FF"/>
                  <w:sz w:val="20"/>
                  <w:u w:val="single"/>
                </w:rPr>
                <w:t>Condensed Consolidated Statements of Operations and Comprehensive Loss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97">
              <w:r>
                <w:rPr>
                  <w:rStyle w:val="InternetLink"/>
                  <w:rFonts w:ascii="Times New Roman;serif" w:hAnsi="Times New Roman;serif"/>
                  <w:b w:val="false"/>
                  <w:color w:val="0000FF"/>
                  <w:sz w:val="20"/>
                  <w:u w:val="single"/>
                </w:rPr>
                <w:t>6</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103">
              <w:r>
                <w:rPr>
                  <w:rStyle w:val="InternetLink"/>
                  <w:rFonts w:ascii="Times New Roman;serif" w:hAnsi="Times New Roman;serif"/>
                  <w:b w:val="false"/>
                  <w:color w:val="0000FF"/>
                  <w:sz w:val="20"/>
                  <w:u w:val="single"/>
                </w:rPr>
                <w:t>Condensed Consolidated Statements of Changes in Convertible Preferred Units and Stockholders' Equity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103">
              <w:r>
                <w:rPr>
                  <w:rStyle w:val="InternetLink"/>
                  <w:rFonts w:ascii="Times New Roman;serif" w:hAnsi="Times New Roman;serif"/>
                  <w:b w:val="false"/>
                  <w:color w:val="0000FF"/>
                  <w:sz w:val="20"/>
                  <w:u w:val="single"/>
                </w:rPr>
                <w:t>7</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106">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106">
              <w:r>
                <w:rPr>
                  <w:rStyle w:val="InternetLink"/>
                  <w:rFonts w:ascii="Times New Roman;serif" w:hAnsi="Times New Roman;serif"/>
                  <w:b w:val="false"/>
                  <w:color w:val="0000FF"/>
                  <w:sz w:val="20"/>
                  <w:u w:val="single"/>
                </w:rPr>
                <w:t>8</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109">
              <w:r>
                <w:rPr>
                  <w:rStyle w:val="InternetLink"/>
                  <w:rFonts w:ascii="Times New Roman;serif" w:hAnsi="Times New Roman;serif"/>
                  <w:b w:val="false"/>
                  <w:color w:val="000080"/>
                  <w:sz w:val="20"/>
                  <w:u w:val="single"/>
                </w:rPr>
                <w:t xml:space="preserve">Notes to </w:t>
              </w:r>
            </w:hyperlink>
            <w:r>
              <w:rPr>
                <w:rFonts w:ascii="Times New Roman;serif" w:hAnsi="Times New Roman;serif"/>
                <w:b w:val="false"/>
                <w:color w:val="0000FF"/>
                <w:sz w:val="20"/>
                <w:u w:val="single"/>
              </w:rPr>
              <w:t>Condensed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109">
              <w:r>
                <w:rPr>
                  <w:rStyle w:val="InternetLink"/>
                  <w:rFonts w:ascii="Times New Roman;serif" w:hAnsi="Times New Roman;serif"/>
                  <w:b w:val="false"/>
                  <w:color w:val="0000FF"/>
                  <w:sz w:val="20"/>
                  <w:u w:val="single"/>
                </w:rPr>
                <w:t>10</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5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58">
              <w:r>
                <w:rPr>
                  <w:rStyle w:val="InternetLink"/>
                  <w:rFonts w:ascii="Times New Roman;serif" w:hAnsi="Times New Roman;serif"/>
                  <w:b w:val="false"/>
                  <w:color w:val="0000FF"/>
                  <w:sz w:val="20"/>
                  <w:u w:val="single"/>
                </w:rPr>
                <w:t>42</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85">
              <w:r>
                <w:rPr>
                  <w:rStyle w:val="InternetLink"/>
                  <w:rFonts w:ascii="Times New Roman;serif" w:hAnsi="Times New Roman;serif"/>
                  <w:b w:val="false"/>
                  <w:color w:val="0000FF"/>
                  <w:sz w:val="20"/>
                  <w:u w:val="single"/>
                </w:rPr>
                <w:t>Item 3. 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85">
              <w:r>
                <w:rPr>
                  <w:rStyle w:val="InternetLink"/>
                  <w:rFonts w:ascii="Times New Roman;serif" w:hAnsi="Times New Roman;serif"/>
                  <w:b w:val="false"/>
                  <w:color w:val="0000FF"/>
                  <w:sz w:val="20"/>
                  <w:u w:val="single"/>
                </w:rPr>
                <w:t>63</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325">
              <w:r>
                <w:rPr>
                  <w:rStyle w:val="InternetLink"/>
                  <w:rFonts w:ascii="Times New Roman;serif" w:hAnsi="Times New Roman;serif"/>
                  <w:b w:val="false"/>
                  <w:color w:val="0000FF"/>
                  <w:sz w:val="20"/>
                  <w:u w:val="single"/>
                </w:rPr>
                <w:t>Item 4. 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325">
              <w:r>
                <w:rPr>
                  <w:rStyle w:val="InternetLink"/>
                  <w:rFonts w:ascii="Times New Roman;serif" w:hAnsi="Times New Roman;serif"/>
                  <w:b w:val="false"/>
                  <w:color w:val="0000FF"/>
                  <w:sz w:val="20"/>
                  <w:u w:val="single"/>
                </w:rPr>
                <w:t>64</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40">
              <w:r>
                <w:rPr>
                  <w:rStyle w:val="InternetLink"/>
                  <w:rFonts w:ascii="Times New Roman;serif" w:hAnsi="Times New Roman;serif"/>
                  <w:b/>
                  <w:color w:val="0000FF"/>
                  <w:sz w:val="20"/>
                  <w:u w:val="single"/>
                </w:rPr>
                <w:t>Part II -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40">
              <w:r>
                <w:rPr>
                  <w:rStyle w:val="InternetLink"/>
                  <w:rFonts w:ascii="Times New Roman;serif" w:hAnsi="Times New Roman;serif"/>
                  <w:b w:val="false"/>
                  <w:color w:val="0000FF"/>
                  <w:sz w:val="20"/>
                  <w:u w:val="single"/>
                </w:rPr>
                <w:t>Item 1. 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40">
              <w:r>
                <w:rPr>
                  <w:rStyle w:val="InternetLink"/>
                  <w:rFonts w:ascii="Times New Roman;serif" w:hAnsi="Times New Roman;serif"/>
                  <w:b w:val="false"/>
                  <w:color w:val="0000FF"/>
                  <w:sz w:val="20"/>
                  <w:u w:val="single"/>
                </w:rPr>
                <w:t>67</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28">
              <w:r>
                <w:rPr>
                  <w:rStyle w:val="InternetLink"/>
                  <w:rFonts w:ascii="Times New Roman;serif" w:hAnsi="Times New Roman;serif"/>
                  <w:b w:val="false"/>
                  <w:color w:val="0000FF"/>
                  <w:sz w:val="20"/>
                  <w:u w:val="single"/>
                </w:rPr>
                <w:t>Item 1A. 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28">
              <w:r>
                <w:rPr>
                  <w:rStyle w:val="InternetLink"/>
                  <w:rFonts w:ascii="Times New Roman;serif" w:hAnsi="Times New Roman;serif"/>
                  <w:b w:val="false"/>
                  <w:color w:val="0000FF"/>
                  <w:sz w:val="20"/>
                  <w:u w:val="single"/>
                </w:rPr>
                <w:t>67</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52">
              <w:r>
                <w:rPr>
                  <w:rStyle w:val="InternetLink"/>
                  <w:rFonts w:ascii="Times New Roman;serif" w:hAnsi="Times New Roman;serif"/>
                  <w:b w:val="false"/>
                  <w:color w:val="0000FF"/>
                  <w:sz w:val="20"/>
                  <w:u w:val="single"/>
                </w:rPr>
                <w:t>Item 2. Unregistered Sale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52">
              <w:r>
                <w:rPr>
                  <w:rStyle w:val="InternetLink"/>
                  <w:rFonts w:ascii="Times New Roman;serif" w:hAnsi="Times New Roman;serif"/>
                  <w:b w:val="false"/>
                  <w:color w:val="0000FF"/>
                  <w:sz w:val="20"/>
                  <w:u w:val="single"/>
                </w:rPr>
                <w:t>142</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385">
              <w:r>
                <w:rPr>
                  <w:rStyle w:val="InternetLink"/>
                  <w:rFonts w:ascii="Times New Roman;serif" w:hAnsi="Times New Roman;serif"/>
                  <w:b w:val="false"/>
                  <w:color w:val="0000FF"/>
                  <w:sz w:val="20"/>
                  <w:u w:val="single"/>
                </w:rPr>
                <w:t>Item 3. 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385">
              <w:r>
                <w:rPr>
                  <w:rStyle w:val="InternetLink"/>
                  <w:rFonts w:ascii="Times New Roman;serif" w:hAnsi="Times New Roman;serif"/>
                  <w:b w:val="false"/>
                  <w:color w:val="0000FF"/>
                  <w:sz w:val="20"/>
                  <w:u w:val="single"/>
                </w:rPr>
                <w:t>142</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43">
              <w:r>
                <w:rPr>
                  <w:rStyle w:val="InternetLink"/>
                  <w:rFonts w:ascii="Times New Roman;serif" w:hAnsi="Times New Roman;serif"/>
                  <w:b w:val="false"/>
                  <w:color w:val="0000FF"/>
                  <w:sz w:val="20"/>
                  <w:u w:val="single"/>
                </w:rPr>
                <w:t>Item 4. 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43">
              <w:r>
                <w:rPr>
                  <w:rStyle w:val="InternetLink"/>
                  <w:rFonts w:ascii="Times New Roman;serif" w:hAnsi="Times New Roman;serif"/>
                  <w:b w:val="false"/>
                  <w:color w:val="0000FF"/>
                  <w:sz w:val="20"/>
                  <w:u w:val="single"/>
                </w:rPr>
                <w:t>142</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328">
              <w:r>
                <w:rPr>
                  <w:rStyle w:val="InternetLink"/>
                  <w:rFonts w:ascii="Times New Roman;serif" w:hAnsi="Times New Roman;serif"/>
                  <w:b w:val="false"/>
                  <w:color w:val="0000FF"/>
                  <w:sz w:val="20"/>
                  <w:u w:val="single"/>
                </w:rPr>
                <w:t>Item 5.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328">
              <w:r>
                <w:rPr>
                  <w:rStyle w:val="InternetLink"/>
                  <w:rFonts w:ascii="Times New Roman;serif" w:hAnsi="Times New Roman;serif"/>
                  <w:b w:val="false"/>
                  <w:color w:val="0000FF"/>
                  <w:sz w:val="20"/>
                  <w:u w:val="single"/>
                </w:rPr>
                <w:t>142</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57ae978ea6641bca7d00d2722ecced9_358">
              <w:r>
                <w:rPr>
                  <w:rStyle w:val="InternetLink"/>
                  <w:rFonts w:ascii="Times New Roman;serif" w:hAnsi="Times New Roman;serif"/>
                  <w:b w:val="false"/>
                  <w:color w:val="0000FF"/>
                  <w:sz w:val="20"/>
                  <w:u w:val="single"/>
                </w:rPr>
                <w:t>Item 6. 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358">
              <w:r>
                <w:rPr>
                  <w:rStyle w:val="InternetLink"/>
                  <w:rFonts w:ascii="Times New Roman;serif" w:hAnsi="Times New Roman;serif"/>
                  <w:b w:val="false"/>
                  <w:color w:val="0000FF"/>
                  <w:sz w:val="20"/>
                  <w:u w:val="single"/>
                </w:rPr>
                <w:t>143</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7ae978ea6641bca7d00d2722ecced9_391">
              <w:r>
                <w:rPr>
                  <w:rStyle w:val="InternetLink"/>
                  <w:rFonts w:ascii="Times New Roman;serif" w:hAnsi="Times New Roman;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57ae978ea6641bca7d00d2722ecced9_391">
              <w:r>
                <w:rPr>
                  <w:rStyle w:val="InternetLink"/>
                  <w:rFonts w:ascii="Times New Roman;serif" w:hAnsi="Times New Roman;serif"/>
                  <w:b w:val="false"/>
                  <w:color w:val="0000FF"/>
                  <w:sz w:val="20"/>
                  <w:u w:val="single"/>
                </w:rPr>
                <w:t>144</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that reflect our current views with respect to, among other things, future events and our future business, operating results, financial condition, prospects, the impact of potential acquisitions and dispositions, and our strategy for growth.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phrases or other comparable words or phrases of a future or forward-looking nature. These forward-looking statements are not statements of historical fact, and are based on current expectations, estimates, and projections about our industry as well as certain assumptions made by management, many of which, by their nature, are inherently uncertain and beyond our control. Forward-looking statements contained in this Quarterly Report on Form 10-Q include, but are not limited to, statements about: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future financial performance, including our expectations regarding our net revenue, operating expenses, and our ability to achieve and maintain future profitability;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anticipated trends, growth rates, and challenges in our business, the cryptoeconomy, and in the markets in which we operate;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acceptance of our products and services;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objectives for future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further penetrate our existing user base and maintain and expand our user base;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develop new products and services and grow our business in response to changing technologies, user demand, and competitive pressures;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concerning relationships with third parties;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protect, and enhance our intellectual property;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increased competition in our markets and our ability to compete effectively;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acquisitions of or investments in complementary companies, products, services, or technologies and our ability to successfully integrate such companies or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laws and regulations that currently apply or become applicable to our business both in the United States and internationally;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digital asset, and industry trends, projected growth, or trend analysis;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regarding our liquidity, capital resources, indebtedness, financing arrangements, debt service obligations, collateral requirements, regulatory capital and reserve requirements, and our ability to obtain additional capital or financing on acceptable terms, or at all;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regarding legal and regulatory proceedings, investigations, litigation, enforcement actions, and related developments;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pending and future litigation, regulatory proceedings, enforcement actions, and changes in federal or state law, including the possibility that such matters or changes could affect whether we offer, or continue to offer, certain products or services, including event contracts;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trends in revenue, cost of revenue, operating expenses and expectations regarding these items;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statements regarding our future operations, financial condition, and prospects and business strategies.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on Form 10-Q are only predictions and are based largely on our current expectations and projections about future events and trends that we believe may affect our business strategy, operating results, financial condition, short-term and long-term business operations and objectives, and financial needs. These forward-looking statements speak only as of the date of this Quarterly Report on Form 10-Q and are subject to a number of known and unknown risks, uncertainties and assumptions, including described in the section titled “Risk Factors” in Part II, Item 1A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Quarterly Report on Form 10-Q, except as required by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the forward-looking statements in this Quarterly Report on Form 10-Q by the cautionary statements contained in this section and elsewhere in this Quarterly Report on Form 10-Q.</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Quarterly Report on Form 10-Q to “Gemini,”</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the “Corporation,” “we,” “our,” “us,” or similar terms refer to Gemini Space Station, Inc. and 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Part I—Financial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38"/>
        <w:gridCol w:w="2329"/>
        <w:gridCol w:w="2313"/>
        <w:gridCol w:w="196"/>
        <w:gridCol w:w="871"/>
        <w:gridCol w:w="109"/>
        <w:gridCol w:w="109"/>
        <w:gridCol w:w="109"/>
        <w:gridCol w:w="109"/>
        <w:gridCol w:w="196"/>
        <w:gridCol w:w="871"/>
        <w:gridCol w:w="155"/>
      </w:tblGrid>
      <w:tr>
        <w:trPr/>
        <w:tc>
          <w:tcPr>
            <w:tcW w:w="2838"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Assets </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439,622 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receivable, net</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Credit card receivables pledged,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1,334,496 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1,606,251 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property and equipment,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1,521,816 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1,801,847 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403,931 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Funding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1,240,404 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1,065,678 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1,260,974 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22)</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 1,000,000 shares authorized; 44,007 and 42,329 shares issued and outstanding as of March 31,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$0.001 per share; 100,000 shares authorized; 75,127 shares issued and outstanding as of March 31,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per share; 20,000 shares authorized, no shares issued and outstanding as of March 31,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1,132 and 284 shares as of March 31,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2,583,689 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(2,043,253)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1,801,847 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2"/>
        <w:gridCol w:w="813"/>
        <w:gridCol w:w="813"/>
        <w:gridCol w:w="813"/>
        <w:gridCol w:w="813"/>
        <w:gridCol w:w="813"/>
        <w:gridCol w:w="813"/>
        <w:gridCol w:w="813"/>
        <w:gridCol w:w="813"/>
        <w:gridCol w:w="813"/>
        <w:gridCol w:w="813"/>
        <w:gridCol w:w="1153"/>
      </w:tblGrid>
      <w:tr>
        <w:trPr/>
        <w:tc>
          <w:tcPr>
            <w:tcW w:w="9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Includes related party amounts of $0.2 million and $0.1 million in Accounts receivable, net as of March 31, 2026 and December 31, 2025, respectively, as outlined in Note 21. Related Party Transactions.</w:t>
            </w:r>
          </w:p>
        </w:tc>
      </w:tr>
      <w:tr>
        <w:trPr/>
        <w:tc>
          <w:tcPr>
            <w:tcW w:w="2548" w:type="dxa"/>
            <w:gridSpan w:val="3"/>
            <w:tcBorders/>
            <w:vAlign w:val="center"/>
          </w:tcPr>
          <w:p>
            <w:pPr>
              <w:pStyle w:val="TableContents"/>
              <w:bidi w:val="0"/>
              <w:spacing w:before="0" w:after="283"/>
              <w:jc w:val="left"/>
              <w:rPr>
                <w:sz w:val="4"/>
                <w:szCs w:val="4"/>
              </w:rPr>
            </w:pPr>
            <w:r>
              <w:rPr>
                <w:sz w:val="4"/>
                <w:szCs w:val="4"/>
              </w:rPr>
            </w:r>
          </w:p>
        </w:tc>
        <w:tc>
          <w:tcPr>
            <w:tcW w:w="7657"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67"/>
        <w:gridCol w:w="1891"/>
        <w:gridCol w:w="1870"/>
        <w:gridCol w:w="156"/>
        <w:gridCol w:w="156"/>
        <w:gridCol w:w="249"/>
        <w:gridCol w:w="157"/>
        <w:gridCol w:w="283"/>
        <w:gridCol w:w="1141"/>
        <w:gridCol w:w="157"/>
        <w:gridCol w:w="109"/>
        <w:gridCol w:w="109"/>
        <w:gridCol w:w="109"/>
        <w:gridCol w:w="196"/>
        <w:gridCol w:w="779"/>
        <w:gridCol w:w="109"/>
        <w:gridCol w:w="109"/>
        <w:gridCol w:w="158"/>
      </w:tblGrid>
      <w:tr>
        <w:trPr/>
        <w:tc>
          <w:tcPr>
            <w:tcW w:w="2467"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8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678" w:type="dxa"/>
            <w:gridSpan w:val="8"/>
            <w:tcBorders/>
          </w:tcPr>
          <w:p>
            <w:pPr>
              <w:pStyle w:val="TableContents"/>
              <w:bidi w:val="0"/>
              <w:spacing w:before="0" w:after="283"/>
              <w:jc w:val="left"/>
              <w:rPr>
                <w:sz w:val="4"/>
                <w:szCs w:val="4"/>
              </w:rPr>
            </w:pPr>
            <w:r>
              <w:rPr>
                <w:sz w:val="4"/>
                <w:szCs w:val="4"/>
              </w:rPr>
            </w:r>
          </w:p>
        </w:tc>
      </w:tr>
      <w:tr>
        <w:trPr/>
        <w:tc>
          <w:tcPr>
            <w:tcW w:w="6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Net revenue</w:t>
            </w:r>
            <w:r>
              <w:rPr>
                <w:rFonts w:ascii="Times New Roman;serif" w:hAnsi="Times New Roman;serif"/>
                <w:b w:val="false"/>
                <w:color w:val="000000"/>
                <w:sz w:val="12"/>
              </w:rPr>
              <w:t>(1)</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compensation</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Technology</w:t>
            </w:r>
            <w:r>
              <w:rPr>
                <w:rFonts w:ascii="Times New Roman;serif" w:hAnsi="Times New Roman;serif"/>
                <w:b w:val="false"/>
                <w:color w:val="000000"/>
                <w:sz w:val="12"/>
              </w:rPr>
              <w:t>(2)</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w:t>
            </w:r>
            <w:r>
              <w:rPr>
                <w:rFonts w:ascii="Times New Roman;serif" w:hAnsi="Times New Roman;serif"/>
                <w:b w:val="false"/>
                <w:color w:val="000000"/>
                <w:sz w:val="12"/>
              </w:rPr>
              <w:t>(3)</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losses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processing</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expenses </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144,460 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(94,188)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(expense): </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on crypto assets and receivable, crypto assets pledged</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 on related party crypto loans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related party loans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third party loans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funding debt</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(14,769)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before income taxes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(108,978)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stockholders: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 and diluted</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116,582 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net of tax</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attributable to instrument-specific credit risk</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(108,672)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89"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Net revenue includes related party amounts of $0.3 million and $0.6 million for the three months ended March 31, 2026 and 2025, respectively, as outlined in Note 21. Related Party Transactions.</w:t>
            </w:r>
          </w:p>
        </w:tc>
        <w:tc>
          <w:tcPr>
            <w:tcW w:w="3416" w:type="dxa"/>
            <w:gridSpan w:val="12"/>
            <w:tcBorders/>
          </w:tcPr>
          <w:p>
            <w:pPr>
              <w:pStyle w:val="TableContents"/>
              <w:bidi w:val="0"/>
              <w:spacing w:before="0" w:after="283"/>
              <w:jc w:val="left"/>
              <w:rPr>
                <w:sz w:val="4"/>
                <w:szCs w:val="4"/>
              </w:rPr>
            </w:pPr>
            <w:r>
              <w:rPr>
                <w:sz w:val="4"/>
                <w:szCs w:val="4"/>
              </w:rPr>
            </w:r>
          </w:p>
        </w:tc>
      </w:tr>
      <w:tr>
        <w:trPr/>
        <w:tc>
          <w:tcPr>
            <w:tcW w:w="6789"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Technology expenses include related party amounts of $0 and $0.2 million for the three months ended March 31, 2026 and 2025, respectively, as outlined in Note 21. Related Party Transactions.</w:t>
            </w:r>
          </w:p>
        </w:tc>
        <w:tc>
          <w:tcPr>
            <w:tcW w:w="3416" w:type="dxa"/>
            <w:gridSpan w:val="12"/>
            <w:tcBorders/>
          </w:tcPr>
          <w:p>
            <w:pPr>
              <w:pStyle w:val="TableContents"/>
              <w:bidi w:val="0"/>
              <w:spacing w:before="0" w:after="283"/>
              <w:jc w:val="left"/>
              <w:rPr>
                <w:sz w:val="4"/>
                <w:szCs w:val="4"/>
              </w:rPr>
            </w:pPr>
            <w:r>
              <w:rPr>
                <w:sz w:val="4"/>
                <w:szCs w:val="4"/>
              </w:rPr>
            </w:r>
          </w:p>
        </w:tc>
      </w:tr>
      <w:tr>
        <w:trPr/>
        <w:tc>
          <w:tcPr>
            <w:tcW w:w="6789"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(3) General and administrative expenses include related party amounts of $0.4 million and $0 for the three months ended March 31, 2026 and 2025, respectively, as outlined in Note 21. Related Party Transactions.</w:t>
            </w:r>
          </w:p>
        </w:tc>
        <w:tc>
          <w:tcPr>
            <w:tcW w:w="3416"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Convertible Preferred Units and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4409" w:type="dxa"/>
        <w:jc w:val="center"/>
        <w:tblInd w:w="0" w:type="dxa"/>
        <w:tblLayout w:type="fixed"/>
        <w:tblCellMar>
          <w:top w:w="28" w:type="dxa"/>
          <w:left w:w="28" w:type="dxa"/>
          <w:bottom w:w="28" w:type="dxa"/>
          <w:right w:w="28" w:type="dxa"/>
        </w:tblCellMar>
      </w:tblPr>
      <w:tblGrid>
        <w:gridCol w:w="560"/>
        <w:gridCol w:w="215"/>
        <w:gridCol w:w="216"/>
        <w:gridCol w:w="270"/>
        <w:gridCol w:w="271"/>
        <w:gridCol w:w="141"/>
        <w:gridCol w:w="109"/>
        <w:gridCol w:w="109"/>
        <w:gridCol w:w="109"/>
        <w:gridCol w:w="181"/>
        <w:gridCol w:w="616"/>
        <w:gridCol w:w="109"/>
        <w:gridCol w:w="109"/>
        <w:gridCol w:w="109"/>
        <w:gridCol w:w="109"/>
        <w:gridCol w:w="270"/>
        <w:gridCol w:w="271"/>
        <w:gridCol w:w="141"/>
        <w:gridCol w:w="109"/>
        <w:gridCol w:w="109"/>
        <w:gridCol w:w="109"/>
        <w:gridCol w:w="181"/>
        <w:gridCol w:w="406"/>
        <w:gridCol w:w="109"/>
        <w:gridCol w:w="109"/>
        <w:gridCol w:w="109"/>
        <w:gridCol w:w="109"/>
        <w:gridCol w:w="308"/>
        <w:gridCol w:w="308"/>
        <w:gridCol w:w="171"/>
        <w:gridCol w:w="109"/>
        <w:gridCol w:w="109"/>
        <w:gridCol w:w="109"/>
        <w:gridCol w:w="181"/>
        <w:gridCol w:w="406"/>
        <w:gridCol w:w="109"/>
        <w:gridCol w:w="109"/>
        <w:gridCol w:w="109"/>
        <w:gridCol w:w="109"/>
        <w:gridCol w:w="248"/>
        <w:gridCol w:w="233"/>
        <w:gridCol w:w="171"/>
        <w:gridCol w:w="109"/>
        <w:gridCol w:w="109"/>
        <w:gridCol w:w="109"/>
        <w:gridCol w:w="181"/>
        <w:gridCol w:w="406"/>
        <w:gridCol w:w="109"/>
        <w:gridCol w:w="109"/>
        <w:gridCol w:w="109"/>
        <w:gridCol w:w="109"/>
        <w:gridCol w:w="181"/>
        <w:gridCol w:w="721"/>
        <w:gridCol w:w="109"/>
        <w:gridCol w:w="109"/>
        <w:gridCol w:w="109"/>
        <w:gridCol w:w="109"/>
        <w:gridCol w:w="244"/>
        <w:gridCol w:w="629"/>
        <w:gridCol w:w="148"/>
        <w:gridCol w:w="109"/>
        <w:gridCol w:w="109"/>
        <w:gridCol w:w="109"/>
        <w:gridCol w:w="181"/>
        <w:gridCol w:w="736"/>
        <w:gridCol w:w="109"/>
        <w:gridCol w:w="327"/>
        <w:gridCol w:w="181"/>
        <w:gridCol w:w="631"/>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Convertible Preferred Units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2025</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117,740 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2,583,689 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(2,043,253)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540,873 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Issuance of common stock upon settlement of RSUs, net of shares withheld</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Forfeiture of unvested restricted shares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2026</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120,265 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2,607,625 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(2,152,231)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456,138 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2024</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50,761 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(1,460,440)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(795,362)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Units due to equity awards granted, net of forfeitures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2025</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doub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68,383 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663,546 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7,789 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(1,609,704)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(938,369)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790" w:type="dxa"/>
        <w:jc w:val="center"/>
        <w:tblInd w:w="0" w:type="dxa"/>
        <w:tblLayout w:type="fixed"/>
        <w:tblCellMar>
          <w:top w:w="28" w:type="dxa"/>
          <w:left w:w="28" w:type="dxa"/>
          <w:bottom w:w="28" w:type="dxa"/>
          <w:right w:w="28" w:type="dxa"/>
        </w:tblCellMar>
      </w:tblPr>
      <w:tblGrid>
        <w:gridCol w:w="2159"/>
        <w:gridCol w:w="1890"/>
        <w:gridCol w:w="1905"/>
        <w:gridCol w:w="197"/>
        <w:gridCol w:w="817"/>
        <w:gridCol w:w="109"/>
        <w:gridCol w:w="109"/>
        <w:gridCol w:w="109"/>
        <w:gridCol w:w="109"/>
        <w:gridCol w:w="197"/>
        <w:gridCol w:w="817"/>
        <w:gridCol w:w="109"/>
        <w:gridCol w:w="109"/>
        <w:gridCol w:w="154"/>
      </w:tblGrid>
      <w:tr>
        <w:trPr/>
        <w:tc>
          <w:tcPr>
            <w:tcW w:w="215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on crypto assets and receivable, crypto assets pledged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 on related party crypto loans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transaction losses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received as revenue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payments for expenses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 received as revenue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 on derivatives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crypto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Disposal of crypto assets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to related parties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to third parties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for funding debt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crypto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credit card receivables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repayments of credit card receivables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internally developed software costs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software, property and equipment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 net of redemptions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funding debt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funding debt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withholding taxes on settlement of restricted stock units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tax withholdings related to net share settlements of equity awards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092" w:type="dxa"/>
        <w:jc w:val="center"/>
        <w:tblInd w:w="0" w:type="dxa"/>
        <w:tblLayout w:type="fixed"/>
        <w:tblCellMar>
          <w:top w:w="28" w:type="dxa"/>
          <w:left w:w="28" w:type="dxa"/>
          <w:bottom w:w="28" w:type="dxa"/>
          <w:right w:w="28" w:type="dxa"/>
        </w:tblCellMar>
      </w:tblPr>
      <w:tblGrid>
        <w:gridCol w:w="2265"/>
        <w:gridCol w:w="1991"/>
        <w:gridCol w:w="1999"/>
        <w:gridCol w:w="209"/>
        <w:gridCol w:w="788"/>
        <w:gridCol w:w="116"/>
        <w:gridCol w:w="116"/>
        <w:gridCol w:w="116"/>
        <w:gridCol w:w="116"/>
        <w:gridCol w:w="209"/>
        <w:gridCol w:w="788"/>
        <w:gridCol w:w="116"/>
        <w:gridCol w:w="109"/>
        <w:gridCol w:w="154"/>
      </w:tblGrid>
      <w:tr>
        <w:trPr/>
        <w:tc>
          <w:tcPr>
            <w:tcW w:w="2265"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restricted cash and cash equivalents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(91,704)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beginning of period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end of period</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803,144 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577,302 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consisted of the following:</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215,623 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483,774 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493,951 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restricted cash and cash equivalents</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803,144 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577,302 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 net of refunds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 received in crypto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related party loans into related party convertible notes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246,245 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related party loans denominated in crypto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receivables posted (returned) as collateral for funding debt,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posted (returned) as collateral for third party loans,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received (returned) for derivatives,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third party loan interest denominated in crypto</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attributable to instrument-specific credit risk</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2837" w:type="dxa"/>
            <w:gridSpan w:val="11"/>
            <w:tcBorders/>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76"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1. Description of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Gemini Space Station, Inc., (the “Corporation,” “Company,” “Gemini,” or “Space Station”) a Nevada corporation, was formed on February 4, 2025, and has a fiscal year end of December 31. Pursuant to a reorganization that occurred concurrently with the initial public offering (“IPO”) in September 2025, the Corporation is a holding company, and its principal asset is a controlling equity interest in Gemini Space Station, LLC (“GSS, LLC”), a related party. The Corporation is the sole managing member of GSS, LLC and controls all of its businesses and affairs.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offers a mobile and web-based crypto asset exchange platform, proprietary wallet infrastructure and custody solutions, high-performance over-the-counter trading solutions tailored to institutions and professional clients, a proprietary United States dollar-backed stablecoin, a crypto asset staking service, a credit card product that offers crypto asset rewards on customer purchases, a regulated prediction markets platform, and a spot margin trading service. The Company operates in multiple jurisdictions and provides security solutions across all of its product offerings.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subsidiaries are regulated by, and/or subject to oversight or indirect impact from, various state, federal and self-regulatory organizational governing bodies, including the New York State Department of Financial Services (“NYSDFS”), the Financial Industry Regulatory Authority (“FINRA”), and the Commodity Futures Trading Commission (“CFTC”).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Gemini Space Station, Inc., and its subsidiaries. All intercompany balances and transactions have been eliminated in consolidation. The unaudited condensed consolidated financial statements are prepared in conformity with accounting principles generally accepted in the United States of America (“U.S. GAAP”) and pursuant to the rules and regulations of the Securities and Exchange Commission (the “SEC”) for interim reporting. The unaudited interim financial statements have been prepared on the same basis as the audited consolidated financial statements and in the opinion of management, reflect all adjustments, including normal recurring adjustments, necessary for the fair presentation of the Company's financial statements for the periods presented.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should be read in conjunction with the audited annual consolidated financial statements included in the Company’s Annual Report on Form 10-K for the year ended December 31, 2025 filed with the SEC on March 31, 2026 (the “Annual Report”). There have been no material changes in the Company's most significant estimates and assumptions, significant accounting policies, segment reporting, or recent accounting pronouncements as described in our audited consolidated financial statements included in our Annual Report, other than as disclosed below.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accordance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the fair value of crypto assets, allowance for transaction losses, contingent liabilities, the Company's incremental borrowing rate, fair value of derivatives, fair value of strategic investments, fair value of stock options, the useful life of long-lived assets, and the recoverability of long-lived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Actual results and outcomes may differ from management’s estimates and assumptions due to risks and uncertainties. To the extent that there are material differences between management's estimates and actual results, the Company’s condensed consolidated financial statements could be materially affected. The Company bases its estimates on historical experience and on various other assumptions that are believed to be reasonable under the circumstances, the result of which forms the basis for making judgments about the carrying values of assets and liabilities.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an “emerging growth company” as defined in Section 2(a)(19) of the Securities Act of 1933, as amended (the “Securities Act”), as modified by the Jumpstart Our Business Startups Act of 2012 (the “JOBS Act”), and may take advantage of certain exemptions from various reporting requirements that are applicable to other public companies that are not emerging growth companies. Under the JOBS Act, emerging growth companies can delay adopting new or revised accounting standards until such time as those standards apply to private companies. The Company has elected to avail itself of this extended transition period and, as a result, will not be required to adopt new or revised accounting standards on the relevant dates on which adoption of such standards is required for other public companies. The Company may take advantage of these exemptions up until the last day of the fiscal year following the fifth anniversary of the IPO or such earlier time that it is no longer an emerging growth company. The Company would cease to be an emerging growth company on the last day of the fiscal year in which it has total annual gross revenues of $1.235 billion or more, has more than $700.0 million in market value of its stock held by non-affiliates (and it has been a public company for at least 12 months, and has filed an annual report on Form 10-K), or it issues more than $1.0 billion in non-convertible debt securities over a three-year period.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Customer custodial funds and custodial funds due to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Customer custodial funds represent restricted cash and cash equivalents maintained in segregated Company bank accounts that are held for the exclusive benefit of customers. The Company has restricted cash deposits at financial institutions related to the Gemini Dollar (“GUSD”).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Customer custodial funds related to GUSD were $43.6 million and $46.6 million as of March 31, 2026 and 2025, respectively. Customer custodial funds due to customers related to GUSD were $42.9 million and $45.6 million as of March 31, 2026 and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Loan receivables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extends financing to certain customers in the form of (i) on-exchange loans and (ii) margin loans to facilitate trading activity on its platform.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On-Exchange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On-exchange loans are short-term, non-interest-bearing advances provided to customers that may be used solely for trading on the Company’s platform. These arrangements are contractually repayable, callable at the Company’s discretion, and are subject to account restrictions that limit the customer’s ability to withdraw or transfer loan proceeds outside of the platform. On-exchange loans are recorded at amortized cost, which approximates fair value due to their short-term nature. These loans do not generate interest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Margin Loans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Margin loans are interest-bearing loans extended to customers to enable leveraged trading. These loans are collateralized by customer assets held on the Company’s platform and are subject to margin maintenance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left"/>
        <w:rPr/>
      </w:pPr>
      <w:r>
        <w:rPr>
          <w:rFonts w:ascii="Times New Roman;serif" w:hAnsi="Times New Roman;serif"/>
          <w:b w:val="false"/>
          <w:color w:val="000000"/>
          <w:sz w:val="20"/>
        </w:rPr>
        <w:t xml:space="preserve">requirements, ongoing monitoring, and liquidation provisions. The Company does not recognize such collateral on its condensed consolidated balance sheets as it does not obtain control of the assets. Margin loan receivables are recorded at amortized cost, which approximates fair value due to their short-term nature. Interest income on margin loans is recognized over time based on the outstanding loan balance and applicable interest rates, which accrue on an hourly basis, and is included in Net revenue on the condensed consolidated statements of operations and comprehensive loss, primarily within other transaction revenue. See </w:t>
      </w:r>
      <w:r>
        <w:rPr>
          <w:rFonts w:ascii="Times New Roman;serif" w:hAnsi="Times New Roman;serif"/>
          <w:b w:val="false"/>
          <w:i/>
          <w:color w:val="000000"/>
          <w:sz w:val="20"/>
        </w:rPr>
        <w:t>Note 3. Revenue.</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its loan receivables for expected credit losses in accordance with applicable guidance. These arrangements are subject to collateral requirements, account restrictions, and liquidation rights that are designed to mitigate credit risk. Based on these factors, the Company’s credit exposure is limited. No allowance for credit losses or write-offs has been recorded for the periods presented.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On-exchange loans and margin loans are included in Prepaid expenses and other current assets on the condensed consolidated balance sheets.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financial instruments, primarily consisting of cash and cash equivalents, restricted cash and cash equivalents, customer custodial funds, and accounts receivable, may subject the Company to concentrations of credit risk. The Company generally maintains cash balances in excess of federally insured limits.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no customers that accounted for more than 10% of the Company’s Accounts receivable,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during the three months ended March 31, 2026 and 2025, no customer accounted for more than 10% of Total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includes costs incurred to promote the Company’s brand, products, and services and to acquire, retain, and engage customers. These costs include advertising and promotional expenses, credit card rewards and customer incentive programs, sponsorships and partnerships, marketing campaigns, and other sales and marketing-related costs. Advertising costs are expensed as incurred.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advertising expense was $7.0 million and $2.9 million,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developments relating to recent accounting pronouncements, including the expected dates of adoption and estimated effects on the condensed consolidated financial statements and footnote disclosures, since those disclosed in the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determines revenue recognition from contracts with customers in accordance with Financial Accounting Standards Board (“FASB”)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 of the Company disaggregated by revenue source and ASC 606 applicability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62"/>
        <w:gridCol w:w="1987"/>
        <w:gridCol w:w="1974"/>
        <w:gridCol w:w="244"/>
        <w:gridCol w:w="244"/>
        <w:gridCol w:w="451"/>
        <w:gridCol w:w="154"/>
        <w:gridCol w:w="277"/>
        <w:gridCol w:w="914"/>
        <w:gridCol w:w="154"/>
        <w:gridCol w:w="109"/>
        <w:gridCol w:w="109"/>
        <w:gridCol w:w="109"/>
        <w:gridCol w:w="196"/>
        <w:gridCol w:w="646"/>
        <w:gridCol w:w="109"/>
        <w:gridCol w:w="109"/>
        <w:gridCol w:w="157"/>
      </w:tblGrid>
      <w:tr>
        <w:trPr/>
        <w:tc>
          <w:tcPr>
            <w:tcW w:w="226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5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544" w:type="dxa"/>
            <w:gridSpan w:val="8"/>
            <w:tcBorders/>
          </w:tcPr>
          <w:p>
            <w:pPr>
              <w:pStyle w:val="TableContents"/>
              <w:bidi w:val="0"/>
              <w:spacing w:before="0" w:after="283"/>
              <w:jc w:val="left"/>
              <w:rPr>
                <w:sz w:val="4"/>
                <w:szCs w:val="4"/>
              </w:rPr>
            </w:pPr>
            <w:r>
              <w:rPr>
                <w:sz w:val="4"/>
                <w:szCs w:val="4"/>
              </w:rPr>
            </w:r>
          </w:p>
        </w:tc>
      </w:tr>
      <w:tr>
        <w:trPr/>
        <w:tc>
          <w:tcPr>
            <w:tcW w:w="6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OTC</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Prediction markets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transaction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transaction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Staking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fee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services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services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 from contracts with customers</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Revenue not from contracts with customers</w:t>
            </w:r>
            <w:r>
              <w:rPr>
                <w:rFonts w:ascii="Times New Roman;serif" w:hAnsi="Times New Roman;serif"/>
                <w:b w:val="false"/>
                <w:color w:val="000000"/>
                <w:sz w:val="12"/>
              </w:rPr>
              <w:t>(1)</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interest</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not from contracts with customers</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Amounts represent revenue that is not accounted for as revenue from contracts with customers, as defined in ASC 606. Interest income is included within Net revenue and corporate interest is included within Other revenue, respectively, on the condensed consolidated statements of operations and comprehensive loss.</w:t>
            </w:r>
          </w:p>
        </w:tc>
        <w:tc>
          <w:tcPr>
            <w:tcW w:w="3043"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Prediction markets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Company launched Gemini Predictions™, a CFTC-regulated prediction markets platform offered through its affiliate Gemini Titan, LLC (“Gemini Titan”), which holds a Designated Contract Market (“DCM”) license. Gemini Predictions allows eligible customers to trade binary event contracts on the outcomes of specified future events. The Company generates revenue from its prediction markets through transaction fees charged to customers for executing trades. Revenue is recognized at a point in time when the transaction is executed, as the Company satisfies its performance obligation by facilitating the trade.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by geographic location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The following table presents revenue of the Company disaggregated by geography based on domiciles of the customer or other counterparty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2010"/>
        <w:gridCol w:w="1771"/>
        <w:gridCol w:w="1796"/>
        <w:gridCol w:w="325"/>
        <w:gridCol w:w="325"/>
        <w:gridCol w:w="659"/>
        <w:gridCol w:w="182"/>
        <w:gridCol w:w="327"/>
        <w:gridCol w:w="1082"/>
        <w:gridCol w:w="182"/>
        <w:gridCol w:w="109"/>
        <w:gridCol w:w="109"/>
        <w:gridCol w:w="109"/>
        <w:gridCol w:w="196"/>
        <w:gridCol w:w="646"/>
        <w:gridCol w:w="109"/>
        <w:gridCol w:w="109"/>
        <w:gridCol w:w="159"/>
      </w:tblGrid>
      <w:tr>
        <w:trPr/>
        <w:tc>
          <w:tcPr>
            <w:tcW w:w="2010"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546" w:type="dxa"/>
            <w:gridSpan w:val="8"/>
            <w:tcBorders/>
          </w:tcPr>
          <w:p>
            <w:pPr>
              <w:pStyle w:val="TableContents"/>
              <w:bidi w:val="0"/>
              <w:spacing w:before="0" w:after="283"/>
              <w:jc w:val="left"/>
              <w:rPr>
                <w:sz w:val="4"/>
                <w:szCs w:val="4"/>
              </w:rPr>
            </w:pPr>
            <w:r>
              <w:rPr>
                <w:sz w:val="4"/>
                <w:szCs w:val="4"/>
              </w:rPr>
            </w:r>
          </w:p>
        </w:tc>
      </w:tr>
      <w:tr>
        <w:trPr/>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77" w:type="dxa"/>
            <w:gridSpan w:val="3"/>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45,177 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International</w:t>
            </w:r>
            <w:r>
              <w:rPr>
                <w:rFonts w:ascii="Times New Roman;serif" w:hAnsi="Times New Roman;serif"/>
                <w:b w:val="false"/>
                <w:color w:val="000000"/>
                <w:sz w:val="12"/>
              </w:rPr>
              <w:t>(1)</w:t>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revenue</w:t>
            </w:r>
            <w:r>
              <w:rPr>
                <w:rFonts w:ascii="Times New Roman;serif" w:hAnsi="Times New Roman;serif"/>
                <w:b w:val="false"/>
                <w:color w:val="000000"/>
                <w:sz w:val="12"/>
              </w:rPr>
              <w:t>(2)</w:t>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50,272 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8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 No country, outside the U.S., accounted for more than 10% of Total revenue.</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Total revenue includes $4.2 million and $2.4 million for the three months ended March 31, 2026 and 2025, respectively, that is not recognized within the scope of ASC 606 as outlined above.</w:t>
            </w:r>
          </w:p>
        </w:tc>
        <w:tc>
          <w:tcPr>
            <w:tcW w:w="3319"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Restructuring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5, 2026, the Company announced its plan to wind down operations in the United Kingdom, European Union, other European jurisdictions, and Australia, including a reduction in force of approximately 200 employees and the related exit or early termination of certain office leases in London, Malta, and San Francisco. On February 17, 2026, the Company separately announced the departure of three executives. The wind-down, workforce reduction, lease-related actions, and executive departures are collectively referred to herein as the "Restructuring." In connection with the Restructuring, the Company recorded approximately $7.9 million of charges in the three months ended March 31, 2026, consisting primarily of severance and personnel costs, operating lease right-of-use (“ROU”) asset impairment charges, and lease termination fees. These charges are included within Salaries and compensation and General and administrative expenses on the condensed consolidated statements of operations and comprehensive loss. These actions were undertaken as part of a strategic initiative to streamline the Company’s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restructuring charges for the three months ended March 31, 2026 by major activity type is as follows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52"/>
        <w:gridCol w:w="834"/>
        <w:gridCol w:w="838"/>
        <w:gridCol w:w="558"/>
        <w:gridCol w:w="1584"/>
        <w:gridCol w:w="312"/>
        <w:gridCol w:w="125"/>
        <w:gridCol w:w="125"/>
        <w:gridCol w:w="125"/>
        <w:gridCol w:w="754"/>
        <w:gridCol w:w="2143"/>
        <w:gridCol w:w="420"/>
        <w:gridCol w:w="125"/>
        <w:gridCol w:w="125"/>
        <w:gridCol w:w="125"/>
        <w:gridCol w:w="227"/>
        <w:gridCol w:w="644"/>
        <w:gridCol w:w="189"/>
      </w:tblGrid>
      <w:tr>
        <w:trPr/>
        <w:tc>
          <w:tcPr>
            <w:tcW w:w="95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Facilities Consolidation</w:t>
            </w:r>
            <w:r>
              <w:rPr>
                <w:rFonts w:ascii="Times New Roman;serif" w:hAnsi="Times New Roman;serif"/>
                <w:b/>
                <w:color w:val="000000"/>
                <w:sz w:val="13"/>
              </w:rPr>
              <w:t>(1)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Severance and Other Personnel Costs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Salaries and compensation - cash </w:t>
            </w:r>
          </w:p>
        </w:tc>
        <w:tc>
          <w:tcPr>
            <w:tcW w:w="2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Total</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7,866 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Facilities consolidation includes lease termination costs and impairment charges and accelerated expenses related to certain operating lease ROU assets and non-recoverable furniture and fixtures.</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Restructuring, the Company recognized a net benefit of approximately $7.1 million  related to stock-based compensation. This net benefit was primarily driven by $8.8 million of forfeitures of unvested awards associated with terminated employees, partially offset by incremental expense of $1.7 million recognized from the acceleration of vesting for certain awards. This net benefit is recorded within Salaries and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expense on the condensed consolidated statements of operations and comprehensive loss, consistent with the Company's accounting policy for stock-based compensation, and is excluded from restructuring charges above.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changes in the severance and other personnel obligations, included within Accrued expenses and Other current liabilities on the condensed consolidated balance sheets, related to the Restructuring (in thousands):</w:t>
      </w:r>
    </w:p>
    <w:p>
      <w:pPr>
        <w:pStyle w:val="TextBody"/>
        <w:bidi w:val="0"/>
        <w:spacing w:before="0" w:after="0"/>
        <w:jc w:val="both"/>
        <w:rPr/>
      </w:pPr>
      <w:r>
        <w:rPr/>
      </w:r>
    </w:p>
    <w:tbl>
      <w:tblPr>
        <w:tblW w:w="3590" w:type="dxa"/>
        <w:jc w:val="left"/>
        <w:tblInd w:w="0" w:type="dxa"/>
        <w:tblLayout w:type="fixed"/>
        <w:tblCellMar>
          <w:top w:w="28" w:type="dxa"/>
          <w:left w:w="28" w:type="dxa"/>
          <w:bottom w:w="28" w:type="dxa"/>
          <w:right w:w="28" w:type="dxa"/>
        </w:tblCellMar>
      </w:tblPr>
      <w:tblGrid>
        <w:gridCol w:w="973"/>
        <w:gridCol w:w="853"/>
        <w:gridCol w:w="858"/>
        <w:gridCol w:w="196"/>
        <w:gridCol w:w="55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and other personnel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during the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expects substantially all remaining severance and termination-related obligations to be settled in cash by the end of the second quarter of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Accounts Receivable,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 consisted of the following (in thousands):</w:t>
      </w:r>
    </w:p>
    <w:p>
      <w:pPr>
        <w:pStyle w:val="TextBody"/>
        <w:bidi w:val="0"/>
        <w:spacing w:before="0" w:after="0"/>
        <w:jc w:val="both"/>
        <w:rPr/>
      </w:pPr>
      <w:r>
        <w:rPr/>
      </w:r>
    </w:p>
    <w:tbl>
      <w:tblPr>
        <w:tblW w:w="7917" w:type="dxa"/>
        <w:jc w:val="left"/>
        <w:tblInd w:w="0" w:type="dxa"/>
        <w:tblLayout w:type="fixed"/>
        <w:tblCellMar>
          <w:top w:w="28" w:type="dxa"/>
          <w:left w:w="28" w:type="dxa"/>
          <w:bottom w:w="28" w:type="dxa"/>
          <w:right w:w="28" w:type="dxa"/>
        </w:tblCellMar>
      </w:tblPr>
      <w:tblGrid>
        <w:gridCol w:w="1373"/>
        <w:gridCol w:w="1207"/>
        <w:gridCol w:w="1215"/>
        <w:gridCol w:w="345"/>
        <w:gridCol w:w="1141"/>
        <w:gridCol w:w="192"/>
        <w:gridCol w:w="127"/>
        <w:gridCol w:w="127"/>
        <w:gridCol w:w="127"/>
        <w:gridCol w:w="403"/>
        <w:gridCol w:w="1338"/>
        <w:gridCol w:w="322"/>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Credit card receivables</w:t>
            </w:r>
            <w:r>
              <w:rPr>
                <w:rFonts w:ascii="Times New Roman;serif" w:hAnsi="Times New Roman;serif"/>
                <w:b w:val="false"/>
                <w:color w:val="000000"/>
                <w:sz w:val="12"/>
              </w:rPr>
              <w:t>(1)</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31,047 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Retail receivables</w:t>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fees receivable</w:t>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Staking fees receivable</w:t>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fees receivable</w:t>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transaction losses</w:t>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(24,753)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(16,307)</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accounts receivable, net of allowance</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32,474 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30,887 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6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7"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Includes $0.9 million and $0.7 million of accrued interest receivable, net as of March 31, 2026 and December 31, 2025, respectively.</w:t>
            </w:r>
          </w:p>
        </w:tc>
      </w:tr>
    </w:tbl>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holds both pledged and unpledged credit card receivables. Unpledged credit card receivables are included in </w:t>
      </w:r>
      <w:r>
        <w:rPr>
          <w:rFonts w:ascii="Times New Roman;serif" w:hAnsi="Times New Roman;serif"/>
          <w:b w:val="false"/>
          <w:color w:val="000000"/>
          <w:sz w:val="20"/>
          <w:shd w:fill="FFFFFF" w:val="clear"/>
        </w:rPr>
        <w:t>Accounts receivable, net</w:t>
      </w:r>
      <w:r>
        <w:rPr>
          <w:color w:val="000000"/>
        </w:rPr>
        <w:t xml:space="preserve"> </w:t>
      </w:r>
      <w:r>
        <w:rPr>
          <w:rFonts w:ascii="Times New Roman;serif" w:hAnsi="Times New Roman;serif"/>
          <w:b w:val="false"/>
          <w:color w:val="000000"/>
          <w:sz w:val="20"/>
        </w:rPr>
        <w:t xml:space="preserve">on the </w:t>
      </w:r>
      <w:r>
        <w:rPr>
          <w:rFonts w:ascii="Times New Roman;serif" w:hAnsi="Times New Roman;serif"/>
          <w:b w:val="false"/>
          <w:color w:val="000000"/>
          <w:sz w:val="20"/>
          <w:shd w:fill="FFFFFF" w:val="clear"/>
        </w:rPr>
        <w:t>condensed consolidated balance sheets</w:t>
      </w:r>
      <w:r>
        <w:rPr>
          <w:rFonts w:ascii="Times New Roman;serif" w:hAnsi="Times New Roman;serif"/>
          <w:b w:val="false"/>
          <w:color w:val="000000"/>
          <w:sz w:val="20"/>
        </w:rPr>
        <w:t xml:space="preserve">. Credit card receivables that have been pledged as collateral under the Company’s warehouse credit agreement are presented separately as Credit card receivables pledged, net on the condensed consolidated balance sheets. See </w:t>
      </w:r>
      <w:r>
        <w:rPr>
          <w:rFonts w:ascii="Times New Roman;serif" w:hAnsi="Times New Roman;serif"/>
          <w:b w:val="false"/>
          <w:i/>
          <w:color w:val="000000"/>
          <w:sz w:val="20"/>
        </w:rPr>
        <w:t>Note 16. Funding Debt</w:t>
      </w:r>
      <w:r>
        <w:rPr>
          <w:color w:val="000000"/>
        </w:rPr>
        <w:t xml:space="preserve"> </w:t>
      </w:r>
      <w:r>
        <w:rPr>
          <w:rFonts w:ascii="Times New Roman;serif" w:hAnsi="Times New Roman;serif"/>
          <w:b w:val="false"/>
          <w:color w:val="000000"/>
          <w:sz w:val="20"/>
        </w:rPr>
        <w:t>for additional information regarding pledged credit card receivables.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Allowance for transaction losses consisted of the following for the three months ended March 31, 2026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840"/>
        <w:gridCol w:w="674"/>
        <w:gridCol w:w="680"/>
        <w:gridCol w:w="254"/>
        <w:gridCol w:w="840"/>
        <w:gridCol w:w="141"/>
        <w:gridCol w:w="406"/>
        <w:gridCol w:w="844"/>
        <w:gridCol w:w="229"/>
        <w:gridCol w:w="396"/>
        <w:gridCol w:w="823"/>
        <w:gridCol w:w="224"/>
        <w:gridCol w:w="308"/>
        <w:gridCol w:w="1019"/>
        <w:gridCol w:w="171"/>
        <w:gridCol w:w="371"/>
        <w:gridCol w:w="771"/>
        <w:gridCol w:w="210"/>
        <w:gridCol w:w="196"/>
        <w:gridCol w:w="646"/>
        <w:gridCol w:w="162"/>
      </w:tblGrid>
      <w:tr>
        <w:trPr/>
        <w:tc>
          <w:tcPr>
            <w:tcW w:w="84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Retail receivables</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Custody fees receivable</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Staking fees receivable</w:t>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Credit card receivables</w:t>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fees receivable</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w:t>
            </w:r>
            <w:r>
              <w:rPr>
                <w:rFonts w:ascii="Times New Roman;serif" w:hAnsi="Times New Roman;serif"/>
                <w:b/>
                <w:color w:val="000000"/>
                <w:sz w:val="12"/>
              </w:rPr>
              <w:t>(1)</w:t>
            </w:r>
          </w:p>
        </w:tc>
      </w:tr>
      <w:tr>
        <w:trPr/>
        <w:tc>
          <w:tcPr>
            <w:tcW w:w="2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16,307 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Provision for (reversal of) credit losses</w:t>
            </w:r>
            <w:r>
              <w:rPr>
                <w:rFonts w:ascii="Times New Roman;serif" w:hAnsi="Times New Roman;serif"/>
                <w:b w:val="false"/>
                <w:color w:val="000000"/>
                <w:sz w:val="12"/>
              </w:rPr>
              <w:t>(1)</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Write-offs</w:t>
            </w:r>
            <w:r>
              <w:rPr>
                <w:rFonts w:ascii="Times New Roman;serif" w:hAnsi="Times New Roman;serif"/>
                <w:b w:val="false"/>
                <w:color w:val="000000"/>
                <w:sz w:val="12"/>
              </w:rPr>
              <w:t>(2)</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and reversals of write-offs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10,727 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24,753 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94"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94"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94"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94"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(1) Credit card receivable provision for losses include $4.1 million related to a discrete fraud reserve for the three months ended March 31, 2026. </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Credit card receivable write-offs include $0.9 million related to accrued interest receivable for the three months ended March 31, 2026.</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Allowance for transaction losses consisted of the following for the three months ended March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4"/>
        <w:gridCol w:w="671"/>
        <w:gridCol w:w="676"/>
        <w:gridCol w:w="279"/>
        <w:gridCol w:w="795"/>
        <w:gridCol w:w="157"/>
        <w:gridCol w:w="408"/>
        <w:gridCol w:w="848"/>
        <w:gridCol w:w="230"/>
        <w:gridCol w:w="398"/>
        <w:gridCol w:w="826"/>
        <w:gridCol w:w="225"/>
        <w:gridCol w:w="339"/>
        <w:gridCol w:w="967"/>
        <w:gridCol w:w="191"/>
        <w:gridCol w:w="407"/>
        <w:gridCol w:w="720"/>
        <w:gridCol w:w="229"/>
        <w:gridCol w:w="196"/>
        <w:gridCol w:w="646"/>
        <w:gridCol w:w="163"/>
      </w:tblGrid>
      <w:tr>
        <w:trPr/>
        <w:tc>
          <w:tcPr>
            <w:tcW w:w="83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Retail receivables</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Custody fees receivable</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Staking fees receivable</w:t>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Credit card receivables</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fees receivable</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w:t>
            </w:r>
            <w:r>
              <w:rPr>
                <w:rFonts w:ascii="Times New Roman;serif" w:hAnsi="Times New Roman;serif"/>
                <w:b/>
                <w:color w:val="000000"/>
                <w:sz w:val="12"/>
              </w:rPr>
              <w:t>(1)</w:t>
            </w:r>
          </w:p>
        </w:tc>
      </w:tr>
      <w:tr>
        <w:trPr/>
        <w:tc>
          <w:tcPr>
            <w:tcW w:w="2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10,268 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Write-offs</w:t>
            </w:r>
            <w:r>
              <w:rPr>
                <w:rFonts w:ascii="Times New Roman;serif" w:hAnsi="Times New Roman;serif"/>
                <w:b w:val="false"/>
                <w:color w:val="000000"/>
                <w:sz w:val="12"/>
              </w:rPr>
              <w:t>(1)</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11,300 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18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18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18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18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1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(1) Credit card receivable write-offs include $0.3 million related to accrued interest receivable for the three months ended March 31, 2025. </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all accounts receivable, the Company evaluates collectability at each reporting date and writes off unsecured balances when they are outstanding for more than 180 days or when the balances are otherwise deemed to be uncollectible. The provision for transaction losses is recorded in Transaction losses on the condensed consolidated statements of operations and comprehensive loss.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assessing credit quality of the credit card receivable portfolio, the Company considers delinquency status as a key indicator. As of March 31, 2026 and December 31, 2025, 96.2% and 96.9%, respectively, of the Company's receivables were current or less than 30 days past due.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by level, within the fair value hierarchy, the Company’s assets and liabilities measured and recorded at fair value on a recurring basis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both"/>
        <w:rPr/>
      </w:pPr>
      <w:r>
        <w:rPr/>
      </w:r>
    </w:p>
    <w:tbl>
      <w:tblPr>
        <w:tblW w:w="8516" w:type="dxa"/>
        <w:jc w:val="left"/>
        <w:tblInd w:w="0" w:type="dxa"/>
        <w:tblLayout w:type="fixed"/>
        <w:tblCellMar>
          <w:top w:w="28" w:type="dxa"/>
          <w:left w:w="28" w:type="dxa"/>
          <w:bottom w:w="28" w:type="dxa"/>
          <w:right w:w="28" w:type="dxa"/>
        </w:tblCellMar>
      </w:tblPr>
      <w:tblGrid>
        <w:gridCol w:w="1225"/>
        <w:gridCol w:w="1077"/>
        <w:gridCol w:w="1088"/>
        <w:gridCol w:w="214"/>
        <w:gridCol w:w="804"/>
        <w:gridCol w:w="119"/>
        <w:gridCol w:w="119"/>
        <w:gridCol w:w="119"/>
        <w:gridCol w:w="119"/>
        <w:gridCol w:w="214"/>
        <w:gridCol w:w="607"/>
        <w:gridCol w:w="119"/>
        <w:gridCol w:w="119"/>
        <w:gridCol w:w="119"/>
        <w:gridCol w:w="119"/>
        <w:gridCol w:w="214"/>
        <w:gridCol w:w="459"/>
        <w:gridCol w:w="119"/>
        <w:gridCol w:w="119"/>
        <w:gridCol w:w="119"/>
        <w:gridCol w:w="119"/>
        <w:gridCol w:w="214"/>
        <w:gridCol w:w="804"/>
        <w:gridCol w:w="168"/>
      </w:tblGrid>
      <w:tr>
        <w:trPr/>
        <w:tc>
          <w:tcPr>
            <w:tcW w:w="122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equivalents: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262,110 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262,110 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Derivative assets</w:t>
            </w:r>
            <w:r>
              <w:rPr>
                <w:rFonts w:ascii="Times New Roman;serif" w:hAnsi="Times New Roman;serif"/>
                <w:b w:val="false"/>
                <w:color w:val="000000"/>
                <w:sz w:val="12"/>
              </w:rPr>
              <w:t>(1)</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273,884 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274,160 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Derivative liabilities</w:t>
            </w:r>
            <w:r>
              <w:rPr>
                <w:rFonts w:ascii="Times New Roman;serif" w:hAnsi="Times New Roman;serif"/>
                <w:b w:val="false"/>
                <w:color w:val="000000"/>
                <w:sz w:val="12"/>
              </w:rPr>
              <w:t>(1)</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payable</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liabilities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1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6"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Excludes the related host contracts which are not measured and recorded at fair value as of March 31, 2026 and are disclosed in the table below.</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8709" w:type="dxa"/>
        <w:jc w:val="left"/>
        <w:tblInd w:w="0" w:type="dxa"/>
        <w:tblLayout w:type="fixed"/>
        <w:tblCellMar>
          <w:top w:w="28" w:type="dxa"/>
          <w:left w:w="28" w:type="dxa"/>
          <w:bottom w:w="28" w:type="dxa"/>
          <w:right w:w="28" w:type="dxa"/>
        </w:tblCellMar>
      </w:tblPr>
      <w:tblGrid>
        <w:gridCol w:w="1225"/>
        <w:gridCol w:w="1077"/>
        <w:gridCol w:w="1087"/>
        <w:gridCol w:w="214"/>
        <w:gridCol w:w="803"/>
        <w:gridCol w:w="119"/>
        <w:gridCol w:w="119"/>
        <w:gridCol w:w="119"/>
        <w:gridCol w:w="119"/>
        <w:gridCol w:w="214"/>
        <w:gridCol w:w="803"/>
        <w:gridCol w:w="119"/>
        <w:gridCol w:w="119"/>
        <w:gridCol w:w="119"/>
        <w:gridCol w:w="119"/>
        <w:gridCol w:w="214"/>
        <w:gridCol w:w="459"/>
        <w:gridCol w:w="119"/>
        <w:gridCol w:w="119"/>
        <w:gridCol w:w="119"/>
        <w:gridCol w:w="119"/>
        <w:gridCol w:w="214"/>
        <w:gridCol w:w="803"/>
        <w:gridCol w:w="168"/>
      </w:tblGrid>
      <w:tr>
        <w:trPr/>
        <w:tc>
          <w:tcPr>
            <w:tcW w:w="122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equivalents: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Derivative assets</w:t>
            </w:r>
            <w:r>
              <w:rPr>
                <w:rFonts w:ascii="Times New Roman;serif" w:hAnsi="Times New Roman;serif"/>
                <w:b w:val="false"/>
                <w:color w:val="000000"/>
                <w:sz w:val="12"/>
              </w:rPr>
              <w:t>(1)</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462,895 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463,444 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liabilities</w:t>
            </w:r>
            <w:r>
              <w:rPr>
                <w:rFonts w:ascii="Times New Roman;serif" w:hAnsi="Times New Roman;serif"/>
                <w:b w:val="false"/>
                <w:color w:val="000000"/>
                <w:sz w:val="12"/>
              </w:rPr>
              <w:t>(1)</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payable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9"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Excludes the related host contracts which are not measured and recorded at fair value as of December 31, 2025 and are disclosed in the table below.</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for further details on the valuation methods and significant inputs of the Level 2 and Level 3 assets and liabilities identified in the Company's audited annual consolidated financial statements for the year ended December 31,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did not make any transfers in or out of Level 3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is a roll-forward of Level 3 investments measured and recorded at fair value on a recurring basis (in thousands):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Level 3 Investments - Warrants</w:t>
      </w:r>
    </w:p>
    <w:tbl>
      <w:tblPr>
        <w:tblW w:w="7744" w:type="dxa"/>
        <w:jc w:val="left"/>
        <w:tblInd w:w="0" w:type="dxa"/>
        <w:tblLayout w:type="fixed"/>
        <w:tblCellMar>
          <w:top w:w="28" w:type="dxa"/>
          <w:left w:w="28" w:type="dxa"/>
          <w:bottom w:w="28" w:type="dxa"/>
          <w:right w:w="28" w:type="dxa"/>
        </w:tblCellMar>
      </w:tblPr>
      <w:tblGrid>
        <w:gridCol w:w="1318"/>
        <w:gridCol w:w="1161"/>
        <w:gridCol w:w="1166"/>
        <w:gridCol w:w="109"/>
        <w:gridCol w:w="109"/>
        <w:gridCol w:w="298"/>
        <w:gridCol w:w="298"/>
        <w:gridCol w:w="535"/>
        <w:gridCol w:w="1151"/>
        <w:gridCol w:w="298"/>
        <w:gridCol w:w="109"/>
        <w:gridCol w:w="109"/>
        <w:gridCol w:w="109"/>
        <w:gridCol w:w="196"/>
        <w:gridCol w:w="406"/>
        <w:gridCol w:w="109"/>
        <w:gridCol w:w="109"/>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301" w:type="dxa"/>
            <w:gridSpan w:val="8"/>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attributable to 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Level 3 Investments - Convertible Notes</w:t>
      </w:r>
    </w:p>
    <w:tbl>
      <w:tblPr>
        <w:tblW w:w="9585" w:type="dxa"/>
        <w:jc w:val="left"/>
        <w:tblInd w:w="0" w:type="dxa"/>
        <w:tblLayout w:type="fixed"/>
        <w:tblCellMar>
          <w:top w:w="28" w:type="dxa"/>
          <w:left w:w="28" w:type="dxa"/>
          <w:bottom w:w="28" w:type="dxa"/>
          <w:right w:w="28" w:type="dxa"/>
        </w:tblCellMar>
      </w:tblPr>
      <w:tblGrid>
        <w:gridCol w:w="1868"/>
        <w:gridCol w:w="1643"/>
        <w:gridCol w:w="1648"/>
        <w:gridCol w:w="109"/>
        <w:gridCol w:w="109"/>
        <w:gridCol w:w="302"/>
        <w:gridCol w:w="302"/>
        <w:gridCol w:w="544"/>
        <w:gridCol w:w="1127"/>
        <w:gridCol w:w="302"/>
        <w:gridCol w:w="109"/>
        <w:gridCol w:w="109"/>
        <w:gridCol w:w="109"/>
        <w:gridCol w:w="196"/>
        <w:gridCol w:w="736"/>
        <w:gridCol w:w="109"/>
        <w:gridCol w:w="109"/>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Beginning balance related party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OCI - Change in fair value attributable to instrument-specific credit risk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attributable to 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 related party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br/>
      </w:r>
      <w:r>
        <w:rPr>
          <w:rFonts w:ascii="Times New Roman;serif" w:hAnsi="Times New Roman;serif"/>
          <w:b/>
          <w:i/>
          <w:color w:val="000000"/>
          <w:sz w:val="20"/>
        </w:rPr>
        <w:t>Level 3 Investments - Term Loans</w:t>
      </w:r>
    </w:p>
    <w:tbl>
      <w:tblPr>
        <w:tblW w:w="9585" w:type="dxa"/>
        <w:jc w:val="left"/>
        <w:tblInd w:w="0" w:type="dxa"/>
        <w:tblLayout w:type="fixed"/>
        <w:tblCellMar>
          <w:top w:w="28" w:type="dxa"/>
          <w:left w:w="28" w:type="dxa"/>
          <w:bottom w:w="28" w:type="dxa"/>
          <w:right w:w="28" w:type="dxa"/>
        </w:tblCellMar>
      </w:tblPr>
      <w:tblGrid>
        <w:gridCol w:w="1867"/>
        <w:gridCol w:w="1643"/>
        <w:gridCol w:w="1649"/>
        <w:gridCol w:w="109"/>
        <w:gridCol w:w="109"/>
        <w:gridCol w:w="302"/>
        <w:gridCol w:w="302"/>
        <w:gridCol w:w="544"/>
        <w:gridCol w:w="1127"/>
        <w:gridCol w:w="302"/>
        <w:gridCol w:w="109"/>
        <w:gridCol w:w="109"/>
        <w:gridCol w:w="109"/>
        <w:gridCol w:w="196"/>
        <w:gridCol w:w="736"/>
        <w:gridCol w:w="109"/>
        <w:gridCol w:w="109"/>
        <w:gridCol w:w="154"/>
      </w:tblGrid>
      <w:tr>
        <w:trPr/>
        <w:tc>
          <w:tcPr>
            <w:tcW w:w="186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Beginning balance related party term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OCI - Change in fair value attributable to instrument-specific credit risk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loss attributable to 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 related party term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IPO, the Company fair valued its convertible notes and convertible term loans utilizing a scenario-based approach that considered various conversion and repayment scenarios, along with a discounted cash flow analysis, which was used to determine the value of an investment today based on projections of future cash flows. The significant input utilized in the discounted cash flow analysis included the discount rate which ranged from 19.5% - 21.3% for the three months ended March 31, 2025. Upon the IPO, convertible notes and related party term loans converted to equity and were no longer outstanding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measured and recorded at fair value on a non-recurring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non-financial assets and liabilities, such as intangible assets, software, property and equipment, and lease right-of-use assets, are adjusted to fair value on a non-recurring basis when an impairment charge is recognized. The fair value used in assessing an impairment for these assets are largely based on Level 2 or Level 3 inputs.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Company’s strategic investments are also measured at fair value on a non-recurring basis. Such fair value measurements are based predominantly on Level 3 inputs such as the recent transaction price involving the same or similar investment, and are adjusted as necessary to reflect relevant market conditions and investment-specific factors. Refer to </w:t>
      </w:r>
      <w:hyperlink w:anchor="i857ae978ea6641bca7d00d2722ecced9_259">
        <w:r>
          <w:rPr>
            <w:rStyle w:val="InternetLink"/>
            <w:rFonts w:ascii="Times New Roman;serif" w:hAnsi="Times New Roman;serif"/>
            <w:b w:val="false"/>
            <w:i/>
            <w:strike w:val="false"/>
            <w:dstrike w:val="false"/>
            <w:color w:val="000000"/>
            <w:sz w:val="20"/>
            <w:u w:val="none"/>
            <w:effect w:val="none"/>
          </w:rPr>
          <w:t xml:space="preserve">Note </w:t>
        </w:r>
      </w:hyperlink>
      <w:r>
        <w:rPr>
          <w:rFonts w:ascii="Times New Roman;serif" w:hAnsi="Times New Roman;serif"/>
          <w:b w:val="false"/>
          <w:i/>
          <w:color w:val="000000"/>
          <w:sz w:val="20"/>
        </w:rPr>
        <w:t>9.</w:t>
      </w:r>
      <w:hyperlink w:anchor="i857ae978ea6641bca7d00d2722ecced9_259">
        <w:r>
          <w:rPr>
            <w:rStyle w:val="InternetLink"/>
            <w:rFonts w:ascii="Times New Roman;serif" w:hAnsi="Times New Roman;serif"/>
            <w:b w:val="false"/>
            <w:i/>
            <w:strike w:val="false"/>
            <w:dstrike w:val="false"/>
            <w:color w:val="000000"/>
            <w:sz w:val="20"/>
            <w:u w:val="none"/>
            <w:effect w:val="none"/>
          </w:rPr>
          <w:t xml:space="preserve"> Prepaid Expenses and Other Assets</w:t>
        </w:r>
      </w:hyperlink>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Financial assets and liabilities not measured and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estimated fair values of our financial assets and financial liabilities that are measured at amortized cost, and are not required to be carried at fair value on a recurring basis, as of March 31, 2026 and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58"/>
        <w:gridCol w:w="1621"/>
        <w:gridCol w:w="162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5"/>
      </w:tblGrid>
      <w:tr>
        <w:trPr/>
        <w:tc>
          <w:tcPr>
            <w:tcW w:w="185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w:t>
            </w:r>
            <w:r>
              <w:rPr>
                <w:rFonts w:ascii="Times New Roman;serif" w:hAnsi="Times New Roman;serif"/>
                <w:b/>
                <w:color w:val="000000"/>
                <w:sz w:val="12"/>
              </w:rPr>
              <w:t>(1)</w:t>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215,623 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483,774 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receivable, net</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834,559 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483,656 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Related party loans</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244,341 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Funding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140,457 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943,803 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(1) The total carrying value is equal to the total estimated fair value for all financial assets and liabilities.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Excludes the embedded derivatives which are measured and recorded at fair value as of March 31, 2026 and are disclosed in the table above.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1858"/>
        <w:gridCol w:w="1621"/>
        <w:gridCol w:w="162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5"/>
      </w:tblGrid>
      <w:tr>
        <w:trPr/>
        <w:tc>
          <w:tcPr>
            <w:tcW w:w="185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w:t>
            </w:r>
            <w:r>
              <w:rPr>
                <w:rFonts w:ascii="Times New Roman;serif" w:hAnsi="Times New Roman;serif"/>
                <w:b/>
                <w:color w:val="000000"/>
                <w:sz w:val="12"/>
              </w:rPr>
              <w:t>(1)</w:t>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receivable, net</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924,432 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Related party loans</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Funding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972,187 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(1) The total carrying value is equal to the total estimated fair value for all financial assets and liabilities.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Excludes the embedded derivatives which are measured and recorded at fair value as of December 31, 2025 and are disclosed in the table above.</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values of financial assets and liabilities equal or approximate fair value because they are short-term in duration, have no defined maturity or have a floating interest rate.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determined credit card receivables to be Level 3 assets. While credit card receivables are short term in duration, the Company estimates their fair value using the current expected loss model, which incorporates unobservable inputs. Accordingly, Level 3 classification is appropriate.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sheet impact of crypto asset options and futures not designated as hedges and measured at fair value as of March 31, 2026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97"/>
        <w:gridCol w:w="961"/>
        <w:gridCol w:w="971"/>
        <w:gridCol w:w="693"/>
        <w:gridCol w:w="1495"/>
        <w:gridCol w:w="389"/>
        <w:gridCol w:w="219"/>
        <w:gridCol w:w="219"/>
        <w:gridCol w:w="219"/>
        <w:gridCol w:w="395"/>
        <w:gridCol w:w="848"/>
        <w:gridCol w:w="219"/>
        <w:gridCol w:w="219"/>
        <w:gridCol w:w="219"/>
        <w:gridCol w:w="219"/>
        <w:gridCol w:w="451"/>
        <w:gridCol w:w="1005"/>
        <w:gridCol w:w="367"/>
      </w:tblGrid>
      <w:tr>
        <w:trPr/>
        <w:tc>
          <w:tcPr>
            <w:tcW w:w="109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Gross Notional</w:t>
            </w:r>
            <w:r>
              <w:rPr>
                <w:rFonts w:ascii="Times New Roman;serif" w:hAnsi="Times New Roman;serif"/>
                <w:b/>
                <w:color w:val="000000"/>
                <w:sz w:val="12"/>
              </w:rPr>
              <w:t>(1)</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25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Gross notional amounts represent the U.S. Dollar denominated size of the underlying asset for the derivative instrument. They do not accurately reflect the Company's economic exposure as they do not reflect the Company's long and short derivative positions.</w:t>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sheet impact of crypto asset options and futures not designated as hedges and measured at fair value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16"/>
        <w:gridCol w:w="1067"/>
        <w:gridCol w:w="1077"/>
        <w:gridCol w:w="577"/>
        <w:gridCol w:w="1638"/>
        <w:gridCol w:w="319"/>
        <w:gridCol w:w="214"/>
        <w:gridCol w:w="214"/>
        <w:gridCol w:w="214"/>
        <w:gridCol w:w="385"/>
        <w:gridCol w:w="651"/>
        <w:gridCol w:w="214"/>
        <w:gridCol w:w="214"/>
        <w:gridCol w:w="214"/>
        <w:gridCol w:w="214"/>
        <w:gridCol w:w="497"/>
        <w:gridCol w:w="879"/>
        <w:gridCol w:w="401"/>
      </w:tblGrid>
      <w:tr>
        <w:trPr/>
        <w:tc>
          <w:tcPr>
            <w:tcW w:w="121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Gross Notional</w:t>
            </w:r>
            <w:r>
              <w:rPr>
                <w:rFonts w:ascii="Times New Roman;serif" w:hAnsi="Times New Roman;serif"/>
                <w:b/>
                <w:color w:val="000000"/>
                <w:sz w:val="12"/>
              </w:rPr>
              <w:t>(1)</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25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Gross notional amounts represent the U.S. Dollar denominated size of the underlying asset for the derivative instrument. They do not accurately reflect the Company's economic exposure as they do not reflect the Company's long and short derivative positions.</w:t>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Please refer to </w:t>
      </w:r>
      <w:r>
        <w:rPr>
          <w:rFonts w:ascii="Times New Roman;serif" w:hAnsi="Times New Roman;serif"/>
          <w:b w:val="false"/>
          <w:i/>
          <w:color w:val="000000"/>
          <w:sz w:val="20"/>
        </w:rPr>
        <w:t>Note</w:t>
      </w:r>
      <w:r>
        <w:rPr>
          <w:color w:val="000000"/>
        </w:rPr>
        <w:t xml:space="preserve"> </w:t>
      </w:r>
      <w:r>
        <w:rPr>
          <w:rFonts w:ascii="Times New Roman;serif" w:hAnsi="Times New Roman;serif"/>
          <w:b w:val="false"/>
          <w:i/>
          <w:color w:val="000000"/>
          <w:sz w:val="20"/>
        </w:rPr>
        <w:t>6.</w:t>
      </w:r>
      <w:r>
        <w:rPr>
          <w:color w:val="000000"/>
        </w:rPr>
        <w:t xml:space="preserve">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fair value details on embedded derivatives. During the three months ended March 31, 2026 and 2025, the change in fair value of the embedded derivatives decreased by $0.2 million and $0.5 million,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Gain (loss) on changes in the fair value of options and futures recorded in Other income (expense), net on the condensed consolidated statements of operations and comprehensive loss were as follows (in thousands): </w:t>
      </w:r>
    </w:p>
    <w:p>
      <w:pPr>
        <w:pStyle w:val="TextBody"/>
        <w:bidi w:val="0"/>
        <w:spacing w:before="0" w:after="0"/>
        <w:jc w:val="both"/>
        <w:rPr/>
      </w:pPr>
      <w:r>
        <w:rPr/>
      </w:r>
    </w:p>
    <w:tbl>
      <w:tblPr>
        <w:tblW w:w="5354" w:type="dxa"/>
        <w:jc w:val="left"/>
        <w:tblInd w:w="0" w:type="dxa"/>
        <w:tblLayout w:type="fixed"/>
        <w:tblCellMar>
          <w:top w:w="28" w:type="dxa"/>
          <w:left w:w="28" w:type="dxa"/>
          <w:bottom w:w="28" w:type="dxa"/>
          <w:right w:w="28" w:type="dxa"/>
        </w:tblCellMar>
      </w:tblPr>
      <w:tblGrid>
        <w:gridCol w:w="571"/>
        <w:gridCol w:w="500"/>
        <w:gridCol w:w="504"/>
        <w:gridCol w:w="109"/>
        <w:gridCol w:w="109"/>
        <w:gridCol w:w="205"/>
        <w:gridCol w:w="368"/>
        <w:gridCol w:w="1187"/>
        <w:gridCol w:w="205"/>
        <w:gridCol w:w="205"/>
        <w:gridCol w:w="205"/>
        <w:gridCol w:w="205"/>
        <w:gridCol w:w="196"/>
        <w:gridCol w:w="631"/>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9,418 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(6,095)</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below table represents the breakdown of crypto asset collateral associated with derivative positions (in thousands):</w:t>
      </w:r>
    </w:p>
    <w:tbl>
      <w:tblPr>
        <w:tblW w:w="8409" w:type="dxa"/>
        <w:jc w:val="left"/>
        <w:tblInd w:w="0" w:type="dxa"/>
        <w:tblLayout w:type="fixed"/>
        <w:tblCellMar>
          <w:top w:w="28" w:type="dxa"/>
          <w:left w:w="28" w:type="dxa"/>
          <w:bottom w:w="28" w:type="dxa"/>
          <w:right w:w="28" w:type="dxa"/>
        </w:tblCellMar>
      </w:tblPr>
      <w:tblGrid>
        <w:gridCol w:w="1886"/>
        <w:gridCol w:w="1653"/>
        <w:gridCol w:w="1665"/>
        <w:gridCol w:w="293"/>
        <w:gridCol w:w="833"/>
        <w:gridCol w:w="163"/>
        <w:gridCol w:w="109"/>
        <w:gridCol w:w="109"/>
        <w:gridCol w:w="109"/>
        <w:gridCol w:w="343"/>
        <w:gridCol w:w="976"/>
        <w:gridCol w:w="270"/>
      </w:tblGrid>
      <w:tr>
        <w:trPr/>
        <w:tc>
          <w:tcPr>
            <w:tcW w:w="188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 as collateral meeting the recognition criteria</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 as collateral not meeting the recognition criteria</w:t>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pledged as collateral not meeting the derecognition criteria</w:t>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Crypto Assets Held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crypto assets held at fair value by the Company (in thousands except for units):</w:t>
      </w:r>
    </w:p>
    <w:p>
      <w:pPr>
        <w:pStyle w:val="TextBody"/>
        <w:bidi w:val="0"/>
        <w:spacing w:before="0" w:after="0"/>
        <w:jc w:val="both"/>
        <w:rPr/>
      </w:pPr>
      <w:r>
        <w:rPr/>
      </w:r>
    </w:p>
    <w:tbl>
      <w:tblPr>
        <w:tblW w:w="5252" w:type="dxa"/>
        <w:jc w:val="left"/>
        <w:tblInd w:w="0" w:type="dxa"/>
        <w:tblLayout w:type="fixed"/>
        <w:tblCellMar>
          <w:top w:w="28" w:type="dxa"/>
          <w:left w:w="28" w:type="dxa"/>
          <w:bottom w:w="28" w:type="dxa"/>
          <w:right w:w="28" w:type="dxa"/>
        </w:tblCellMar>
      </w:tblPr>
      <w:tblGrid>
        <w:gridCol w:w="628"/>
        <w:gridCol w:w="554"/>
        <w:gridCol w:w="557"/>
        <w:gridCol w:w="278"/>
        <w:gridCol w:w="278"/>
        <w:gridCol w:w="176"/>
        <w:gridCol w:w="109"/>
        <w:gridCol w:w="109"/>
        <w:gridCol w:w="109"/>
        <w:gridCol w:w="196"/>
        <w:gridCol w:w="736"/>
        <w:gridCol w:w="109"/>
        <w:gridCol w:w="109"/>
        <w:gridCol w:w="109"/>
        <w:gridCol w:w="109"/>
        <w:gridCol w:w="196"/>
        <w:gridCol w:w="73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271,956 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7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not meaningful</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52" w:type="dxa"/>
        <w:jc w:val="left"/>
        <w:tblInd w:w="0" w:type="dxa"/>
        <w:tblLayout w:type="fixed"/>
        <w:tblCellMar>
          <w:top w:w="28" w:type="dxa"/>
          <w:left w:w="28" w:type="dxa"/>
          <w:bottom w:w="28" w:type="dxa"/>
          <w:right w:w="28" w:type="dxa"/>
        </w:tblCellMar>
      </w:tblPr>
      <w:tblGrid>
        <w:gridCol w:w="628"/>
        <w:gridCol w:w="554"/>
        <w:gridCol w:w="557"/>
        <w:gridCol w:w="278"/>
        <w:gridCol w:w="278"/>
        <w:gridCol w:w="176"/>
        <w:gridCol w:w="109"/>
        <w:gridCol w:w="109"/>
        <w:gridCol w:w="109"/>
        <w:gridCol w:w="196"/>
        <w:gridCol w:w="736"/>
        <w:gridCol w:w="109"/>
        <w:gridCol w:w="109"/>
        <w:gridCol w:w="109"/>
        <w:gridCol w:w="109"/>
        <w:gridCol w:w="196"/>
        <w:gridCol w:w="73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439,622 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7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not meaningful</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of the Company's crypto assets held measured at fair value (in thousands):</w:t>
      </w:r>
    </w:p>
    <w:tbl>
      <w:tblPr>
        <w:tblW w:w="10205" w:type="dxa"/>
        <w:jc w:val="left"/>
        <w:tblInd w:w="0" w:type="dxa"/>
        <w:tblLayout w:type="fixed"/>
        <w:tblCellMar>
          <w:top w:w="28" w:type="dxa"/>
          <w:left w:w="28" w:type="dxa"/>
          <w:bottom w:w="28" w:type="dxa"/>
          <w:right w:w="28" w:type="dxa"/>
        </w:tblCellMar>
      </w:tblPr>
      <w:tblGrid>
        <w:gridCol w:w="1047"/>
        <w:gridCol w:w="875"/>
        <w:gridCol w:w="878"/>
        <w:gridCol w:w="289"/>
        <w:gridCol w:w="1086"/>
        <w:gridCol w:w="160"/>
        <w:gridCol w:w="160"/>
        <w:gridCol w:w="160"/>
        <w:gridCol w:w="160"/>
        <w:gridCol w:w="289"/>
        <w:gridCol w:w="953"/>
        <w:gridCol w:w="160"/>
        <w:gridCol w:w="160"/>
        <w:gridCol w:w="160"/>
        <w:gridCol w:w="160"/>
        <w:gridCol w:w="289"/>
        <w:gridCol w:w="953"/>
        <w:gridCol w:w="160"/>
        <w:gridCol w:w="160"/>
        <w:gridCol w:w="160"/>
        <w:gridCol w:w="160"/>
        <w:gridCol w:w="290"/>
        <w:gridCol w:w="1093"/>
        <w:gridCol w:w="243"/>
      </w:tblGrid>
      <w:tr>
        <w:trPr/>
        <w:tc>
          <w:tcPr>
            <w:tcW w:w="104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Bitcoin</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Ether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Crypto assets held at December 31, 2024</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412,115 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17,562 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470,101 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Addition of crypto assets</w:t>
            </w:r>
            <w:r>
              <w:rPr>
                <w:rFonts w:ascii="Times New Roman;serif" w:hAnsi="Times New Roman;serif"/>
                <w:b w:val="false"/>
                <w:color w:val="000000"/>
                <w:sz w:val="12"/>
              </w:rPr>
              <w:t>(1)(2)</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696,251 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430,434 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1,166,378 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Disposition of crypto assets</w:t>
            </w:r>
            <w:r>
              <w:rPr>
                <w:rFonts w:ascii="Times New Roman;serif" w:hAnsi="Times New Roman;serif"/>
                <w:b w:val="false"/>
                <w:color w:val="000000"/>
                <w:sz w:val="12"/>
              </w:rPr>
              <w:t>(1)(2)</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(640,120)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(441,969)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(39,097)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(1,121,186)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Realized gain on crypto assets</w:t>
            </w:r>
            <w:r>
              <w:rPr>
                <w:rFonts w:ascii="Times New Roman;serif" w:hAnsi="Times New Roman;serif"/>
                <w:b w:val="false"/>
                <w:color w:val="000000"/>
                <w:sz w:val="12"/>
              </w:rPr>
              <w:t>(3)</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116,174 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crypto assets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(46,700)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gain (loss) on crypto assets</w:t>
            </w:r>
            <w:r>
              <w:rPr>
                <w:rFonts w:ascii="Times New Roman;serif" w:hAnsi="Times New Roman;serif"/>
                <w:b w:val="false"/>
                <w:color w:val="000000"/>
                <w:sz w:val="12"/>
              </w:rPr>
              <w:t>(4)</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(145,145)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Crypto assets held at December 31, 2025</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439,622 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 of crypto assets</w:t>
            </w:r>
          </w:p>
        </w:tc>
        <w:tc>
          <w:tcPr>
            <w:tcW w:w="13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78,386 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90,100 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Disposition of crypto assets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(141,825)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(156,789)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Realized gain on crypto assets</w:t>
            </w:r>
            <w:r>
              <w:rPr>
                <w:rFonts w:ascii="Times New Roman;serif" w:hAnsi="Times New Roman;serif"/>
                <w:b w:val="false"/>
                <w:color w:val="000000"/>
                <w:sz w:val="12"/>
              </w:rPr>
              <w:t>(3)</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crypto assets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gain (loss) on crypto assets</w:t>
            </w:r>
            <w:r>
              <w:rPr>
                <w:rFonts w:ascii="Times New Roman;serif" w:hAnsi="Times New Roman;serif"/>
                <w:b w:val="false"/>
                <w:color w:val="000000"/>
                <w:sz w:val="12"/>
              </w:rPr>
              <w:t>(4)</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(82,671)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(89,109)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Crypto assets held at March 31, 2026</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262,110 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271,956 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5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4"/>
              </w:rPr>
              <w:t xml:space="preserve">(1) Includes acquisitions of 1,434 Bitcoin and 86,321 Ether totaling $435.1 million and dispositions of 505 Bitcoin and 61,696 Ether totaling $192.4 million to manage collateral obligation under its loan agreements as of December 31, 2025. Refer to </w:t>
            </w:r>
            <w:r>
              <w:rPr>
                <w:rFonts w:ascii="Times New Roman;serif" w:hAnsi="Times New Roman;serif"/>
                <w:b w:val="false"/>
                <w:i/>
                <w:color w:val="000000"/>
                <w:sz w:val="14"/>
              </w:rPr>
              <w:t xml:space="preserve">Note 2. Summary of Significant Accounting Policies </w:t>
            </w:r>
            <w:r>
              <w:rPr>
                <w:rFonts w:ascii="Times New Roman;serif" w:hAnsi="Times New Roman;serif"/>
                <w:b w:val="false"/>
                <w:color w:val="000000"/>
                <w:sz w:val="14"/>
              </w:rPr>
              <w:t xml:space="preserve">for further details. </w:t>
            </w:r>
          </w:p>
          <w:p>
            <w:pPr>
              <w:pStyle w:val="TableContents"/>
              <w:bidi w:val="0"/>
              <w:spacing w:lineRule="auto" w:line="240"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Beginning in the third quarter of 2025, the Company began using certain customer collateral received under its rehypothecation rights. As a result, these assets are now presented in Crypto assets held on the condensed consolidated balance sheets. In prior periods, these assets were included in Prepaid expenses and other current assets on the condensed consolidated balance sheets. Included in acquisitions is 132 Bitcoin totaling $11.5 million and in dispositions 5 Bitcoin and 1 Ether and Other crypto assets totaling $0.6 million related to customer collateral received under rehypothecation rights as of December 31, 2025.</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(3) Excludes realized gain on Receivable, crypto assets pledged of $0 and $117.4 million as of March 31, 2026 and December 31, 2025, respectively.</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(4) Excludes unrealized loss on Receivable, crypto assets pledged of $0 and $43.0 million as of March 31, 2026 and December 31, 2025, respectively.</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Crypto assets held by the Company are measured at fair value on a recurring basis using quoted prices in active markets and are classified as Level 1 within the fair value hierarchy. Restricted crypto assets are also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within Crypto assets held on the consolidated balance sheets. Restrictions on use do not affect the Company’s ability to recognize these crypto assets when control is retained.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holds crypto assets primarily for operational purposes, including to support transaction processing, satisfy liquidity coverage and regulatory capital requirements for certain regulated subsidiaries, and meet collateral requirements under financing and other contractual arrangements. The Company acquires crypto assets primarily through related party loans, revenue denominated in crypto assets, and direct purchases of crypto assets. The Company disposes of crypto assets through repayments of principal and interest on related party crypto loans, sales of crypto assets and the settlement of operating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Crypto assets are initially recorded at their fair value at the time of acquisition, which represents their cost basis. Gains and losses on disposal are determined using the first-in-first-out (“FIFO”) method.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subsidiaries of the Company are required to maintain surety bonds in connection with money transmitter licenses. In connection with these requirements, the Company has designated 623 bitcoin, with a fair value of $42.5 million, as collateral to insurance providers, which is reassessed on an annual basis.</w:t>
      </w:r>
    </w:p>
    <w:p>
      <w:pPr>
        <w:pStyle w:val="TextBody"/>
        <w:bidi w:val="0"/>
        <w:spacing w:before="0" w:after="0"/>
        <w:jc w:val="both"/>
        <w:rPr/>
      </w:pPr>
      <w:r>
        <w:rPr/>
      </w:r>
    </w:p>
    <w:p>
      <w:pPr>
        <w:pStyle w:val="TextBody"/>
        <w:bidi w:val="0"/>
        <w:spacing w:lineRule="auto" w:line="288" w:before="0" w:after="0"/>
        <w:ind w:left="0" w:right="0" w:firstLine="900"/>
        <w:jc w:val="left"/>
        <w:rPr/>
      </w:pPr>
      <w:r>
        <w:rPr>
          <w:rFonts w:ascii="Times New Roman;serif" w:hAnsi="Times New Roman;serif"/>
          <w:b w:val="false"/>
          <w:color w:val="000000"/>
          <w:sz w:val="20"/>
        </w:rPr>
        <w:t xml:space="preserve">As of March 31, 2026 and December 31, 2025, the Company held 971 bitcoin and 2,721 bitcoin, respectively, with a fair value of $66.2 million and $237.1 million, respectively, that are restricted in use under the terms of certain related party crypto asset loan agreements. These crypto assets are designated and maintained to satisfy regulatory capital requirements and the restrictions remain in effect while the related party crypto asset loan agreements are outstanding. The restrictions may lapse upon repayment or termination of the loans, or other contractual modifications. This bitcoin is included in the Company's related party crypto asset loan with a December 29, 2022, draw date as described in </w:t>
      </w:r>
      <w:r>
        <w:rPr>
          <w:rFonts w:ascii="Times New Roman;serif" w:hAnsi="Times New Roman;serif"/>
          <w:b w:val="false"/>
          <w:i/>
          <w:color w:val="000000"/>
          <w:sz w:val="20"/>
        </w:rPr>
        <w:t>Note 14. Related Party Loans and Convertible Notes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addition, as of March 31, 2026 and December 31, 2025, the Company held 2,097 bitcoin and 1,275 bitcoin, respectively, with a fair value of $143.0 million and $111.1 million, respectively, that are restricted in use under the terms of certain third party crypto asset loan agreements. These crypto assets are designated and maintained to satisfy agreed upon collateral requirements. Because the Company retains control over these assets and the counterparty is not permitted to sell, pledge, rehypothecate, or otherwise use the assets, the restricted crypto assets continue to be recognized within Crypto assets held on the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Prepaid Expenses and Other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consisted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9"/>
        <w:gridCol w:w="1436"/>
        <w:gridCol w:w="1446"/>
        <w:gridCol w:w="465"/>
        <w:gridCol w:w="1536"/>
        <w:gridCol w:w="259"/>
        <w:gridCol w:w="195"/>
        <w:gridCol w:w="195"/>
        <w:gridCol w:w="195"/>
        <w:gridCol w:w="523"/>
        <w:gridCol w:w="1734"/>
        <w:gridCol w:w="422"/>
      </w:tblGrid>
      <w:tr>
        <w:trPr/>
        <w:tc>
          <w:tcPr>
            <w:tcW w:w="179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4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81"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2679" w:type="dxa"/>
            <w:gridSpan w:val="3"/>
            <w:tcBorders/>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Prepaid expenses and other current assets</w:t>
            </w:r>
          </w:p>
        </w:tc>
        <w:tc>
          <w:tcPr>
            <w:tcW w:w="2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2679" w:type="dxa"/>
            <w:gridSpan w:val="3"/>
            <w:tcBorders/>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collateral pledged</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16,400 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14,164 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Stablecoin</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16,285 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Prefunded clearing advance</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 receivables</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prepaid expenses and other current assets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42,957 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52,140 </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Other non-current assets </w:t>
            </w:r>
          </w:p>
        </w:tc>
        <w:tc>
          <w:tcPr>
            <w:tcW w:w="2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right-of-use assets, net</w:t>
            </w:r>
          </w:p>
        </w:tc>
        <w:tc>
          <w:tcPr>
            <w:tcW w:w="4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16,402 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18,559 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investments</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9,428 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Warrant derivative</w:t>
            </w:r>
            <w:r>
              <w:rPr>
                <w:rFonts w:ascii="Times New Roman;serif" w:hAnsi="Times New Roman;serif"/>
                <w:b w:val="false"/>
                <w:color w:val="000000"/>
                <w:sz w:val="12"/>
              </w:rPr>
              <w:t>(1)</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Warrant receivable</w:t>
            </w:r>
            <w:r>
              <w:rPr>
                <w:rFonts w:ascii="Times New Roman;serif" w:hAnsi="Times New Roman;serif"/>
                <w:b w:val="false"/>
                <w:color w:val="000000"/>
                <w:sz w:val="12"/>
              </w:rPr>
              <w:t>(2)</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non-current assets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38,142 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40,708 </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2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(1) Warrant derivative represents the vested warrants received in connection with an advisory agreement. The vested warrants meet the definition of a derivative under ASC 815, </w:t>
            </w:r>
            <w:r>
              <w:rPr>
                <w:rFonts w:ascii="Times New Roman;serif" w:hAnsi="Times New Roman;serif"/>
                <w:b w:val="false"/>
                <w:i/>
                <w:color w:val="000000"/>
                <w:sz w:val="14"/>
              </w:rPr>
              <w:t>Derivatives and Hedging</w:t>
            </w:r>
            <w:r>
              <w:rPr>
                <w:rFonts w:ascii="Times New Roman;serif" w:hAnsi="Times New Roman;serif"/>
                <w:b w:val="false"/>
                <w:color w:val="000000"/>
                <w:sz w:val="14"/>
              </w:rPr>
              <w:t xml:space="preserve">, and are subject to fair value adjustments. As of both March 31, 2026 and December 31, 2025, 40% of the warrants' vesting conditions had been met. Refer to </w:t>
            </w:r>
            <w:r>
              <w:rPr>
                <w:rFonts w:ascii="Times New Roman;serif" w:hAnsi="Times New Roman;serif"/>
                <w:b w:val="false"/>
                <w:i/>
                <w:color w:val="000000"/>
                <w:sz w:val="14"/>
              </w:rPr>
              <w:t>Note 6. Fair Value Measurements.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The warrant receivable represents a contract asset initially measured at fair value of $10.8 million. As of both March 31, 2026 and December 31, 2025, $4.3 million had vested, resulting in a remaining contract asset of $6.5 million.</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Measurement alternative investments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investments under the measurement alternative method whereby they are measured at cost, less impairment, subject to upward and downward adjustments resulting from observable price changes for identical or similar investments of the same issuer. The changes in the carrying value of strategic investments are accounted for under the measurement alternative are presented below (in thousands):</w:t>
      </w:r>
    </w:p>
    <w:p>
      <w:pPr>
        <w:pStyle w:val="TextBody"/>
        <w:bidi w:val="0"/>
        <w:spacing w:before="0" w:after="0"/>
        <w:jc w:val="both"/>
        <w:rPr/>
      </w:pPr>
      <w:r>
        <w:rPr/>
      </w:r>
    </w:p>
    <w:tbl>
      <w:tblPr>
        <w:tblW w:w="7688" w:type="dxa"/>
        <w:jc w:val="left"/>
        <w:tblInd w:w="0" w:type="dxa"/>
        <w:tblLayout w:type="fixed"/>
        <w:tblCellMar>
          <w:top w:w="28" w:type="dxa"/>
          <w:left w:w="28" w:type="dxa"/>
          <w:bottom w:w="28" w:type="dxa"/>
          <w:right w:w="28" w:type="dxa"/>
        </w:tblCellMar>
      </w:tblPr>
      <w:tblGrid>
        <w:gridCol w:w="1409"/>
        <w:gridCol w:w="1238"/>
        <w:gridCol w:w="1244"/>
        <w:gridCol w:w="340"/>
        <w:gridCol w:w="968"/>
        <w:gridCol w:w="189"/>
        <w:gridCol w:w="189"/>
        <w:gridCol w:w="189"/>
        <w:gridCol w:w="189"/>
        <w:gridCol w:w="340"/>
        <w:gridCol w:w="1125"/>
        <w:gridCol w:w="268"/>
      </w:tblGrid>
      <w:tr>
        <w:trPr/>
        <w:tc>
          <w:tcPr>
            <w:tcW w:w="14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amount, beginning balance</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10,638 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reductions</w:t>
            </w:r>
            <w:r>
              <w:rPr>
                <w:rFonts w:ascii="Times New Roman;serif" w:hAnsi="Times New Roman;serif"/>
                <w:b w:val="false"/>
                <w:color w:val="000000"/>
                <w:sz w:val="12"/>
              </w:rPr>
              <w:t>(1)</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amount, ending balance</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10,051 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4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Includes additions from purchases, reductions due to exits of securities and reclassifications due to changes to capital structure.</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Cumulative upward adjustments for strategic investments held were $4.5 million as of both March 31, 2026 and December 31, 2025. Cumulative impairments and downward adjustments were $1.2 million as of both March 31, 2026 and December 31, 2025. Upward adjustments, impairments, and downward adjustments are included in Other income (expense), net on the condensed consolidated statements of operations and comprehensive loss.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Software, Property and Equipment,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Software, property and equipment, net consisted of the following (in thousands):</w:t>
      </w:r>
    </w:p>
    <w:tbl>
      <w:tblPr>
        <w:tblW w:w="6700" w:type="dxa"/>
        <w:jc w:val="left"/>
        <w:tblInd w:w="0" w:type="dxa"/>
        <w:tblLayout w:type="fixed"/>
        <w:tblCellMar>
          <w:top w:w="28" w:type="dxa"/>
          <w:left w:w="28" w:type="dxa"/>
          <w:bottom w:w="28" w:type="dxa"/>
          <w:right w:w="28" w:type="dxa"/>
        </w:tblCellMar>
      </w:tblPr>
      <w:tblGrid>
        <w:gridCol w:w="1144"/>
        <w:gridCol w:w="1006"/>
        <w:gridCol w:w="1015"/>
        <w:gridCol w:w="296"/>
        <w:gridCol w:w="978"/>
        <w:gridCol w:w="165"/>
        <w:gridCol w:w="109"/>
        <w:gridCol w:w="109"/>
        <w:gridCol w:w="109"/>
        <w:gridCol w:w="346"/>
        <w:gridCol w:w="1147"/>
        <w:gridCol w:w="276"/>
      </w:tblGrid>
      <w:tr>
        <w:trPr/>
        <w:tc>
          <w:tcPr>
            <w:tcW w:w="11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50,656 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12,620 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other equipment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70,098 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67,988 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 and depreciation</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(55,151)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Software, property and equipment, net</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14,947 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15,083 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attributable to software, property, and equipment was $0.4 million for both the three months ended March 31, 2026 and 2025. Depreciation expense attributable to software, property, and equipment is reflected in General and administrative on the condensed consolidated statements of operations and comprehensive loss. Amortization expense attributable to software, property, and equipment was $1.5 million and $1.8 million for the three months ended March 31, 2026 and 2025, respectively. Amortization expense attributable to software, property, and equipment is reflected in Technology on the condensed consolidated statements of operations and comprehensive loss. Total additions to software were $2.0 million and $1.2 million for the three months ended March 31, 2026 and 2025,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software, property and equipment was located and utilized within the United States as of March 31, 2026 and December 31, 2025.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recorded an impairment loss of $0.2 million on leasehold improvements related to the closure of its San Francisco office lease, and $0.1 million on furniture and fixtures related to the closure of its United Kingdom offices as part of the Company's exit from international markets.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11. Intangible Assets, Net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March 31, 2026 (in thousands):</w:t>
      </w:r>
    </w:p>
    <w:p>
      <w:pPr>
        <w:pStyle w:val="TextBody"/>
        <w:bidi w:val="0"/>
        <w:spacing w:before="0" w:after="0"/>
        <w:jc w:val="both"/>
        <w:rPr/>
      </w:pPr>
      <w:r>
        <w:rPr/>
      </w:r>
    </w:p>
    <w:tbl>
      <w:tblPr>
        <w:tblW w:w="9031" w:type="dxa"/>
        <w:jc w:val="left"/>
        <w:tblInd w:w="0" w:type="dxa"/>
        <w:tblLayout w:type="fixed"/>
        <w:tblCellMar>
          <w:top w:w="28" w:type="dxa"/>
          <w:left w:w="28" w:type="dxa"/>
          <w:bottom w:w="28" w:type="dxa"/>
          <w:right w:w="28" w:type="dxa"/>
        </w:tblCellMar>
      </w:tblPr>
      <w:tblGrid>
        <w:gridCol w:w="771"/>
        <w:gridCol w:w="677"/>
        <w:gridCol w:w="682"/>
        <w:gridCol w:w="375"/>
        <w:gridCol w:w="1411"/>
        <w:gridCol w:w="208"/>
        <w:gridCol w:w="109"/>
        <w:gridCol w:w="109"/>
        <w:gridCol w:w="109"/>
        <w:gridCol w:w="443"/>
        <w:gridCol w:w="1498"/>
        <w:gridCol w:w="249"/>
        <w:gridCol w:w="109"/>
        <w:gridCol w:w="109"/>
        <w:gridCol w:w="109"/>
        <w:gridCol w:w="109"/>
        <w:gridCol w:w="109"/>
        <w:gridCol w:w="333"/>
        <w:gridCol w:w="1251"/>
        <w:gridCol w:w="26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178,005 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(51,424)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126,581 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50,781 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(43,396)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Assembled workforce</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230,703 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(96,472)</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134,231 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December 31, 2025 (in thousands):</w:t>
      </w:r>
    </w:p>
    <w:p>
      <w:pPr>
        <w:pStyle w:val="TextBody"/>
        <w:bidi w:val="0"/>
        <w:spacing w:before="0" w:after="0"/>
        <w:jc w:val="both"/>
        <w:rPr/>
      </w:pPr>
      <w:r>
        <w:rPr/>
      </w:r>
    </w:p>
    <w:tbl>
      <w:tblPr>
        <w:tblW w:w="9031" w:type="dxa"/>
        <w:jc w:val="left"/>
        <w:tblInd w:w="0" w:type="dxa"/>
        <w:tblLayout w:type="fixed"/>
        <w:tblCellMar>
          <w:top w:w="28" w:type="dxa"/>
          <w:left w:w="28" w:type="dxa"/>
          <w:bottom w:w="28" w:type="dxa"/>
          <w:right w:w="28" w:type="dxa"/>
        </w:tblCellMar>
      </w:tblPr>
      <w:tblGrid>
        <w:gridCol w:w="771"/>
        <w:gridCol w:w="677"/>
        <w:gridCol w:w="682"/>
        <w:gridCol w:w="375"/>
        <w:gridCol w:w="1411"/>
        <w:gridCol w:w="208"/>
        <w:gridCol w:w="109"/>
        <w:gridCol w:w="109"/>
        <w:gridCol w:w="109"/>
        <w:gridCol w:w="443"/>
        <w:gridCol w:w="1498"/>
        <w:gridCol w:w="249"/>
        <w:gridCol w:w="109"/>
        <w:gridCol w:w="109"/>
        <w:gridCol w:w="109"/>
        <w:gridCol w:w="109"/>
        <w:gridCol w:w="109"/>
        <w:gridCol w:w="333"/>
        <w:gridCol w:w="1251"/>
        <w:gridCol w:w="26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178,005 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(48,457)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129,548 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50,781 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(40,887)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Assembled workforce</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230,706 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(90,901)</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139,805 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of intangible assets was $5.6 million for both the three months ended March 31, 2026 and 2025. Amortization expense attributable to patents and developed technology is reflected in Technology on the condensed consolidated statements of operations and comprehensive loss. Amortization expense attributable to customer relationships and assembled workforce is reflected in General and administrative on the condensed consolidated statements of operations and comprehensive loss.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expected future amortization expense for intangible assets as of March 31, 2026 is as follows (in thousands):</w:t>
      </w:r>
    </w:p>
    <w:p>
      <w:pPr>
        <w:pStyle w:val="TextBody"/>
        <w:bidi w:val="0"/>
        <w:spacing w:before="0" w:after="0"/>
        <w:jc w:val="both"/>
        <w:rPr/>
      </w:pPr>
      <w:r>
        <w:rPr/>
      </w:r>
    </w:p>
    <w:tbl>
      <w:tblPr>
        <w:tblW w:w="4221" w:type="dxa"/>
        <w:jc w:val="left"/>
        <w:tblInd w:w="0" w:type="dxa"/>
        <w:tblLayout w:type="fixed"/>
        <w:tblCellMar>
          <w:top w:w="28" w:type="dxa"/>
          <w:left w:w="28" w:type="dxa"/>
          <w:bottom w:w="28" w:type="dxa"/>
          <w:right w:w="28" w:type="dxa"/>
        </w:tblCellMar>
      </w:tblPr>
      <w:tblGrid>
        <w:gridCol w:w="1136"/>
        <w:gridCol w:w="997"/>
        <w:gridCol w:w="1002"/>
        <w:gridCol w:w="196"/>
        <w:gridCol w:w="73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2026</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expected future amortization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134,231 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Accrued Expenses and Other Current Liabilities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p>
      <w:pPr>
        <w:pStyle w:val="TextBody"/>
        <w:bidi w:val="0"/>
        <w:spacing w:before="0" w:after="0"/>
        <w:jc w:val="left"/>
        <w:rPr/>
      </w:pPr>
      <w:r>
        <w:rPr/>
      </w:r>
    </w:p>
    <w:tbl>
      <w:tblPr>
        <w:tblW w:w="7210" w:type="dxa"/>
        <w:jc w:val="left"/>
        <w:tblInd w:w="0" w:type="dxa"/>
        <w:tblLayout w:type="fixed"/>
        <w:tblCellMar>
          <w:top w:w="28" w:type="dxa"/>
          <w:left w:w="28" w:type="dxa"/>
          <w:bottom w:w="28" w:type="dxa"/>
          <w:right w:w="28" w:type="dxa"/>
        </w:tblCellMar>
      </w:tblPr>
      <w:tblGrid>
        <w:gridCol w:w="1330"/>
        <w:gridCol w:w="1170"/>
        <w:gridCol w:w="1175"/>
        <w:gridCol w:w="296"/>
        <w:gridCol w:w="978"/>
        <w:gridCol w:w="165"/>
        <w:gridCol w:w="109"/>
        <w:gridCol w:w="109"/>
        <w:gridCol w:w="109"/>
        <w:gridCol w:w="346"/>
        <w:gridCol w:w="1147"/>
        <w:gridCol w:w="276"/>
      </w:tblGrid>
      <w:tr>
        <w:trPr/>
        <w:tc>
          <w:tcPr>
            <w:tcW w:w="13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51,042 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and benefits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severance</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loss contingencies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accrued expenses </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73,683 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55,466 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liabilities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Commissions to NFT artists payable</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Unearned advisory fee revenue </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payable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liabilities</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19,237 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21,528 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92,920 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76,994 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The Company has operating leases for office facilities with remaining terms of two years to eight years. Many leases include one or more options to renew, but renewals are not assumed in the determination of the lease term as the Company is not reasonably certain to exercise the renewals. These leases primarily relate to office space in the United States and the United Kingdom and generally require fixed monthly payments, some of which include rent-free periods and contractual rent escalations.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At lease commencement, the Company records a right-of-use asset and a corresponding lease liability based on the present value of lease payments over the lease term, using an incremental borrowing rate determined at lease commencement. All of the Company’s leases are classified as operating leases under FASB ASC Topic 842,</w:t>
      </w:r>
      <w:r>
        <w:rPr>
          <w:color w:val="000000"/>
        </w:rPr>
        <w:t xml:space="preserve"> </w:t>
      </w:r>
      <w:r>
        <w:rPr>
          <w:rFonts w:ascii="Times New Roman;serif" w:hAnsi="Times New Roman;serif"/>
          <w:b w:val="false"/>
          <w:i/>
          <w:color w:val="000000"/>
          <w:sz w:val="20"/>
        </w:rPr>
        <w:t xml:space="preserve">Leases </w:t>
      </w:r>
      <w:r>
        <w:rPr>
          <w:rFonts w:ascii="Times New Roman;serif" w:hAnsi="Times New Roman;serif"/>
          <w:b w:val="false"/>
          <w:color w:val="000000"/>
          <w:sz w:val="20"/>
        </w:rPr>
        <w:t>(“ASC 842”).</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lease expense in General and administrative on the condensed consolidated statements of operations and comprehensive loss. The components of lease expense were as follows (in thousands):</w:t>
      </w:r>
    </w:p>
    <w:p>
      <w:pPr>
        <w:pStyle w:val="TextBody"/>
        <w:bidi w:val="0"/>
        <w:spacing w:before="0" w:after="0"/>
        <w:jc w:val="left"/>
        <w:rPr/>
      </w:pPr>
      <w:r>
        <w:rPr/>
      </w:r>
    </w:p>
    <w:tbl>
      <w:tblPr>
        <w:tblW w:w="6135" w:type="dxa"/>
        <w:jc w:val="left"/>
        <w:tblInd w:w="0" w:type="dxa"/>
        <w:tblLayout w:type="fixed"/>
        <w:tblCellMar>
          <w:top w:w="28" w:type="dxa"/>
          <w:left w:w="28" w:type="dxa"/>
          <w:bottom w:w="28" w:type="dxa"/>
          <w:right w:w="28" w:type="dxa"/>
        </w:tblCellMar>
      </w:tblPr>
      <w:tblGrid>
        <w:gridCol w:w="684"/>
        <w:gridCol w:w="601"/>
        <w:gridCol w:w="604"/>
        <w:gridCol w:w="109"/>
        <w:gridCol w:w="109"/>
        <w:gridCol w:w="260"/>
        <w:gridCol w:w="260"/>
        <w:gridCol w:w="468"/>
        <w:gridCol w:w="1329"/>
        <w:gridCol w:w="260"/>
        <w:gridCol w:w="109"/>
        <w:gridCol w:w="109"/>
        <w:gridCol w:w="109"/>
        <w:gridCol w:w="196"/>
        <w:gridCol w:w="556"/>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451" w:type="dxa"/>
            <w:gridSpan w:val="8"/>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operating leases was as follows:</w:t>
      </w:r>
    </w:p>
    <w:p>
      <w:pPr>
        <w:pStyle w:val="TextBody"/>
        <w:bidi w:val="0"/>
        <w:spacing w:before="0" w:after="0"/>
        <w:jc w:val="both"/>
        <w:rPr/>
      </w:pPr>
      <w:r>
        <w:rPr/>
      </w:r>
    </w:p>
    <w:tbl>
      <w:tblPr>
        <w:tblW w:w="7152" w:type="dxa"/>
        <w:jc w:val="left"/>
        <w:tblInd w:w="0" w:type="dxa"/>
        <w:tblLayout w:type="fixed"/>
        <w:tblCellMar>
          <w:top w:w="28" w:type="dxa"/>
          <w:left w:w="28" w:type="dxa"/>
          <w:bottom w:w="28" w:type="dxa"/>
          <w:right w:w="28" w:type="dxa"/>
        </w:tblCellMar>
      </w:tblPr>
      <w:tblGrid>
        <w:gridCol w:w="1310"/>
        <w:gridCol w:w="1150"/>
        <w:gridCol w:w="1155"/>
        <w:gridCol w:w="330"/>
        <w:gridCol w:w="330"/>
        <w:gridCol w:w="780"/>
        <w:gridCol w:w="109"/>
        <w:gridCol w:w="109"/>
        <w:gridCol w:w="109"/>
        <w:gridCol w:w="371"/>
        <w:gridCol w:w="371"/>
        <w:gridCol w:w="1028"/>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Weighted-average discount rate </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March 31, 2026 were as follows:</w:t>
      </w:r>
    </w:p>
    <w:p>
      <w:pPr>
        <w:pStyle w:val="TextBody"/>
        <w:bidi w:val="0"/>
        <w:spacing w:before="0" w:after="0"/>
        <w:jc w:val="both"/>
        <w:rPr/>
      </w:pPr>
      <w:r>
        <w:rPr/>
      </w:r>
    </w:p>
    <w:tbl>
      <w:tblPr>
        <w:tblW w:w="3621" w:type="dxa"/>
        <w:jc w:val="left"/>
        <w:tblInd w:w="0" w:type="dxa"/>
        <w:tblLayout w:type="fixed"/>
        <w:tblCellMar>
          <w:top w:w="28" w:type="dxa"/>
          <w:left w:w="28" w:type="dxa"/>
          <w:bottom w:w="28" w:type="dxa"/>
          <w:right w:w="28" w:type="dxa"/>
        </w:tblCellMar>
      </w:tblPr>
      <w:tblGrid>
        <w:gridCol w:w="951"/>
        <w:gridCol w:w="835"/>
        <w:gridCol w:w="839"/>
        <w:gridCol w:w="196"/>
        <w:gridCol w:w="64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undiscounted lease payments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in connection with its restructuring activities, the Company ceased use of substantially all of its leased office spaces in London, United Kingdom and San Francisco, California and recorded impairment charges to reduce the carrying values of the related operating lease right-of-use (“ROU”) assets to their estimated fair values.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For the London lease, fair value was estimated using a discounted cash flow analysis based on projected sublease income. For the San Francisco lease, fair value was estimated using observable inputs, including the terms of a lease termination amendment executed on April 10, 2026. See </w:t>
      </w:r>
      <w:r>
        <w:rPr>
          <w:rFonts w:ascii="Times New Roman;serif" w:hAnsi="Times New Roman;serif"/>
          <w:b w:val="false"/>
          <w:i/>
          <w:color w:val="000000"/>
          <w:sz w:val="20"/>
        </w:rPr>
        <w:t>Note 23.</w:t>
      </w:r>
      <w:r>
        <w:rPr>
          <w:color w:val="000000"/>
        </w:rPr>
        <w:t xml:space="preserve"> </w:t>
      </w:r>
      <w:r>
        <w:rPr>
          <w:rFonts w:ascii="Times New Roman;serif" w:hAnsi="Times New Roman;serif"/>
          <w:b w:val="false"/>
          <w:i/>
          <w:color w:val="000000"/>
          <w:sz w:val="20"/>
        </w:rPr>
        <w:t>Subsequent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Total impairment charges of approximately $1.0 million are included within General and administrative expenses on the condensed consolidated statements of operations and comprehensive loss. See </w:t>
      </w:r>
      <w:r>
        <w:rPr>
          <w:rFonts w:ascii="Times New Roman;serif" w:hAnsi="Times New Roman;serif"/>
          <w:b w:val="false"/>
          <w:i/>
          <w:color w:val="000000"/>
          <w:sz w:val="20"/>
        </w:rPr>
        <w:t xml:space="preserve">Note 4. Restructuring Activities </w:t>
      </w:r>
      <w:r>
        <w:rPr>
          <w:rFonts w:ascii="Times New Roman;serif" w:hAnsi="Times New Roman;serif"/>
          <w:b w:val="false"/>
          <w:color w:val="000000"/>
          <w:sz w:val="20"/>
        </w:rPr>
        <w:t>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14. Related Party Loans and Convertible Notes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regularly enters into lending agreements with Winklevoss Capital Fund, LLC (“WCF”), a related party through common ownership, in order to finance operations, maintain regulatory capital levels in subsidiaries, and fund capital expenditures to grow the business. The Company primarily conducts lending activities with WCF using bitcoin or ether as the loaned instrument or as collateral for USD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Crypto asset loans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several crypto lending agreements with WCF. All principal loan amounts have no stated maturity date but are callable upon written notice by WCF. The Company will have until the end of the business day to repay all outstanding loaned crypto amounts when called. The principal will be paid in-kind and interest outstanding will be payable in either (i) crypto or (ii) cash equivalent to the aggregate value of such crypto as measured at fair value on the daily basis at which the fees accrued. These agreements were made to enable the Company to ensure adequate operational liquidity and meet regulatory capital obligations of its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Crypto asset loans as of March 31, 2026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7"/>
        <w:gridCol w:w="191"/>
        <w:gridCol w:w="193"/>
        <w:gridCol w:w="178"/>
        <w:gridCol w:w="178"/>
        <w:gridCol w:w="180"/>
        <w:gridCol w:w="257"/>
        <w:gridCol w:w="920"/>
        <w:gridCol w:w="155"/>
        <w:gridCol w:w="228"/>
        <w:gridCol w:w="513"/>
        <w:gridCol w:w="138"/>
        <w:gridCol w:w="190"/>
        <w:gridCol w:w="681"/>
        <w:gridCol w:w="114"/>
        <w:gridCol w:w="208"/>
        <w:gridCol w:w="676"/>
        <w:gridCol w:w="125"/>
        <w:gridCol w:w="274"/>
        <w:gridCol w:w="868"/>
        <w:gridCol w:w="167"/>
        <w:gridCol w:w="213"/>
        <w:gridCol w:w="763"/>
        <w:gridCol w:w="128"/>
        <w:gridCol w:w="222"/>
        <w:gridCol w:w="222"/>
        <w:gridCol w:w="223"/>
        <w:gridCol w:w="209"/>
        <w:gridCol w:w="574"/>
        <w:gridCol w:w="125"/>
        <w:gridCol w:w="218"/>
        <w:gridCol w:w="453"/>
        <w:gridCol w:w="20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Loan</w:t>
            </w:r>
            <w:r>
              <w:rPr>
                <w:rFonts w:ascii="Times New Roman;serif" w:hAnsi="Times New Roman;serif"/>
                <w:b/>
                <w:color w:val="000000"/>
                <w:sz w:val="9"/>
              </w:rPr>
              <w:t>(4)</w:t>
            </w:r>
          </w:p>
        </w:tc>
        <w:tc>
          <w:tcPr>
            <w:tcW w:w="5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Draw Date</w:t>
            </w:r>
          </w:p>
        </w:tc>
        <w:tc>
          <w:tcPr>
            <w:tcW w:w="13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12.31.25</w:t>
            </w:r>
          </w:p>
        </w:tc>
        <w:tc>
          <w:tcPr>
            <w:tcW w:w="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Borrowed</w:t>
            </w:r>
          </w:p>
        </w:tc>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Repaid</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Realized Gain (Loss)</w:t>
            </w:r>
          </w:p>
        </w:tc>
        <w:tc>
          <w:tcPr>
            <w:tcW w:w="1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3.31.26</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Unrealized Gain (Loss)</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Interest Rate</w:t>
            </w:r>
          </w:p>
        </w:tc>
        <w:tc>
          <w:tcPr>
            <w:tcW w:w="90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Interest Expense</w:t>
            </w:r>
            <w:r>
              <w:rPr>
                <w:rFonts w:ascii="Times New Roman;serif" w:hAnsi="Times New Roman;serif"/>
                <w:b/>
                <w:color w:val="000000"/>
                <w:sz w:val="9"/>
              </w:rPr>
              <w:t>(2)</w:t>
            </w:r>
          </w:p>
        </w:tc>
        <w:tc>
          <w:tcPr>
            <w:tcW w:w="87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Interest Payable</w:t>
            </w:r>
            <w:r>
              <w:rPr>
                <w:rFonts w:ascii="Times New Roman;serif" w:hAnsi="Times New Roman;serif"/>
                <w:b/>
                <w:color w:val="000000"/>
                <w:sz w:val="9"/>
              </w:rPr>
              <w:t>(3)</w:t>
            </w:r>
          </w:p>
        </w:tc>
      </w:tr>
      <w:tr>
        <w:trPr/>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5,000 BTC</w:t>
            </w:r>
            <w:r>
              <w:rPr>
                <w:rFonts w:ascii="Times New Roman;serif" w:hAnsi="Times New Roman;serif"/>
                <w:b w:val="false"/>
                <w:color w:val="000000"/>
                <w:sz w:val="9"/>
              </w:rPr>
              <w:t>(1)</w:t>
            </w:r>
          </w:p>
        </w:tc>
        <w:tc>
          <w:tcPr>
            <w:tcW w:w="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12/29/2022</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237,077 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119,208 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(90,260)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66,211 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141,918 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500 BTC</w:t>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5/11/2023</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34,108 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340 BTC</w:t>
            </w:r>
            <w:r>
              <w:rPr>
                <w:rFonts w:ascii="Times New Roman;serif" w:hAnsi="Times New Roman;serif"/>
                <w:b w:val="false"/>
                <w:color w:val="000000"/>
                <w:sz w:val="9"/>
              </w:rPr>
              <w:t>(4)</w:t>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10/31/2023</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5.0%</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1,275 BTC</w:t>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7/24/2025</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86,976 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822 BTC</w:t>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3/18/2026</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58,571 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56,074 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r>
          </w:p>
        </w:tc>
        <w:tc>
          <w:tcPr>
            <w:tcW w:w="5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402,501 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58,571 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119,208 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(90,260)</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251,783 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180,342 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3,311 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791 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__________________</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1,750 bitcoin ("BTC") were repaid during the three months ended March 31, 2026.</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Prior year interest accrued of $1.4 million was paid during the three months ended March 31, 2026.</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(3) Outstanding interest balances payable to WCF are included in Related party loans on the condensed consolidated balance sheets as of March 31, 2026.</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(4) 3,691 bitcoin and 0 ether were outstanding as of the three months ended March 31, 2026.</w:t>
            </w:r>
          </w:p>
        </w:tc>
      </w:tr>
    </w:tbl>
    <w:p>
      <w:pPr>
        <w:pStyle w:val="TextBody"/>
        <w:bidi w:val="0"/>
        <w:spacing w:lineRule="auto" w:line="288" w:before="0" w:after="0"/>
        <w:jc w:val="both"/>
        <w:rPr/>
      </w:pPr>
      <w:r>
        <w:rPr>
          <w:rFonts w:ascii="Times New Roman;serif" w:hAnsi="Times New Roman;serif"/>
          <w:b w:val="false"/>
          <w:color w:val="000000"/>
          <w:sz w:val="20"/>
        </w:rPr>
        <w:br/>
        <w:t xml:space="preserve">    During the three months ended March 31, 2026, the Company entered into one additional lending agreement with WCF. The Company uses the crypto assets obtained from this agreement as collateral for third party loans. Refer to </w:t>
      </w:r>
      <w:r>
        <w:rPr>
          <w:rFonts w:ascii="Times New Roman;serif" w:hAnsi="Times New Roman;serif"/>
          <w:b w:val="false"/>
          <w:i/>
          <w:color w:val="000000"/>
          <w:sz w:val="20"/>
        </w:rPr>
        <w:t>Note 15. Third Party Loans</w:t>
      </w:r>
      <w:r>
        <w:rPr>
          <w:color w:val="000000"/>
        </w:rPr>
        <w:t xml:space="preserve"> </w:t>
      </w:r>
      <w:r>
        <w:rPr>
          <w:rFonts w:ascii="Times New Roman;serif" w:hAnsi="Times New Roman;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Crypto asset loans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9"/>
        <w:gridCol w:w="198"/>
        <w:gridCol w:w="200"/>
        <w:gridCol w:w="177"/>
        <w:gridCol w:w="177"/>
        <w:gridCol w:w="179"/>
        <w:gridCol w:w="255"/>
        <w:gridCol w:w="910"/>
        <w:gridCol w:w="153"/>
        <w:gridCol w:w="246"/>
        <w:gridCol w:w="510"/>
        <w:gridCol w:w="137"/>
        <w:gridCol w:w="195"/>
        <w:gridCol w:w="616"/>
        <w:gridCol w:w="117"/>
        <w:gridCol w:w="207"/>
        <w:gridCol w:w="673"/>
        <w:gridCol w:w="125"/>
        <w:gridCol w:w="255"/>
        <w:gridCol w:w="910"/>
        <w:gridCol w:w="153"/>
        <w:gridCol w:w="219"/>
        <w:gridCol w:w="691"/>
        <w:gridCol w:w="131"/>
        <w:gridCol w:w="221"/>
        <w:gridCol w:w="221"/>
        <w:gridCol w:w="222"/>
        <w:gridCol w:w="204"/>
        <w:gridCol w:w="645"/>
        <w:gridCol w:w="123"/>
        <w:gridCol w:w="219"/>
        <w:gridCol w:w="456"/>
        <w:gridCol w:w="201"/>
      </w:tblGrid>
      <w:tr>
        <w:trPr/>
        <w:tc>
          <w:tcPr>
            <w:tcW w:w="2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Loan</w:t>
            </w:r>
            <w:r>
              <w:rPr>
                <w:rFonts w:ascii="Times New Roman;serif" w:hAnsi="Times New Roman;serif"/>
                <w:b/>
                <w:color w:val="000000"/>
                <w:sz w:val="9"/>
              </w:rPr>
              <w:t>(14)</w:t>
            </w:r>
          </w:p>
        </w:tc>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Draw Date</w:t>
            </w:r>
          </w:p>
        </w:tc>
        <w:tc>
          <w:tcPr>
            <w:tcW w:w="13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12.31.24</w:t>
            </w:r>
          </w:p>
        </w:tc>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Borrowed</w:t>
            </w:r>
          </w:p>
        </w:tc>
        <w:tc>
          <w:tcPr>
            <w:tcW w:w="9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Repaid</w:t>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Realized Gain (Loss)</w:t>
            </w:r>
          </w:p>
        </w:tc>
        <w:tc>
          <w:tcPr>
            <w:tcW w:w="13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12.31.25</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Unrealized Gain (Loss)</w:t>
            </w:r>
          </w:p>
        </w:tc>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Interest Rate</w:t>
            </w:r>
          </w:p>
        </w:tc>
        <w:tc>
          <w:tcPr>
            <w:tcW w:w="97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Interest Expense</w:t>
            </w:r>
            <w:r>
              <w:rPr>
                <w:rFonts w:ascii="Times New Roman;serif" w:hAnsi="Times New Roman;serif"/>
                <w:b/>
                <w:color w:val="000000"/>
                <w:sz w:val="9"/>
              </w:rPr>
              <w:t>(12)</w:t>
            </w:r>
          </w:p>
        </w:tc>
        <w:tc>
          <w:tcPr>
            <w:tcW w:w="8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Interest Payable</w:t>
            </w:r>
            <w:r>
              <w:rPr>
                <w:rFonts w:ascii="Times New Roman;serif" w:hAnsi="Times New Roman;serif"/>
                <w:b/>
                <w:color w:val="000000"/>
                <w:sz w:val="9"/>
              </w:rPr>
              <w:t>(13)</w:t>
            </w:r>
          </w:p>
        </w:tc>
      </w:tr>
      <w:tr>
        <w:trPr/>
        <w:tc>
          <w:tcPr>
            <w:tcW w:w="6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5,000 BTC</w:t>
            </w:r>
            <w:r>
              <w:rPr>
                <w:rFonts w:ascii="Times New Roman;serif" w:hAnsi="Times New Roman;serif"/>
                <w:b w:val="false"/>
                <w:color w:val="000000"/>
                <w:sz w:val="9"/>
              </w:rPr>
              <w:t>(1)</w:t>
            </w:r>
          </w:p>
        </w:tc>
        <w:tc>
          <w:tcPr>
            <w:tcW w:w="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12/29/2022</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290,929 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39,204 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(32,663)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237,077 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47,312 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11,619 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2,000 BTC</w:t>
            </w:r>
            <w:r>
              <w:rPr>
                <w:rFonts w:ascii="Times New Roman;serif" w:hAnsi="Times New Roman;serif"/>
                <w:b w:val="false"/>
                <w:color w:val="000000"/>
                <w:sz w:val="9"/>
              </w:rPr>
              <w:t>(2)</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3/1/2023</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102,516 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132,164 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(106,357)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76,710 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35,000 ETH</w:t>
            </w:r>
            <w:r>
              <w:rPr>
                <w:rFonts w:ascii="Times New Roman;serif" w:hAnsi="Times New Roman;serif"/>
                <w:b w:val="false"/>
                <w:color w:val="000000"/>
                <w:sz w:val="9"/>
              </w:rPr>
              <w:t>(3)</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3/1/2023</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88,234 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116,333 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(72,828)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44,729 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500 BTC</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5/11/2023</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46,683 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43,571 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340 BTC</w:t>
            </w:r>
            <w:r>
              <w:rPr>
                <w:rFonts w:ascii="Times New Roman;serif" w:hAnsi="Times New Roman;serif"/>
                <w:b w:val="false"/>
                <w:color w:val="000000"/>
                <w:sz w:val="9"/>
              </w:rPr>
              <w:t>(4)</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10/31/2023</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31,745 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(16,892)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10,748 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5.0%</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5,200 ETH</w:t>
            </w:r>
            <w:r>
              <w:rPr>
                <w:rFonts w:ascii="Times New Roman;serif" w:hAnsi="Times New Roman;serif"/>
                <w:b w:val="false"/>
                <w:color w:val="000000"/>
                <w:sz w:val="9"/>
              </w:rPr>
              <w:t>(5)</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1/27/2025</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(2,949)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3,000 ETH</w:t>
            </w:r>
            <w:r>
              <w:rPr>
                <w:rFonts w:ascii="Times New Roman;serif" w:hAnsi="Times New Roman;serif"/>
                <w:b w:val="false"/>
                <w:color w:val="000000"/>
                <w:sz w:val="9"/>
              </w:rPr>
              <w:t>(6)</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2/7/2025</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5,280 ETH</w:t>
            </w:r>
            <w:r>
              <w:rPr>
                <w:rFonts w:ascii="Times New Roman;serif" w:hAnsi="Times New Roman;serif"/>
                <w:b w:val="false"/>
                <w:color w:val="000000"/>
                <w:sz w:val="9"/>
              </w:rPr>
              <w:t>(7)</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2/28/2025</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3,400 ETH</w:t>
            </w:r>
            <w:r>
              <w:rPr>
                <w:rFonts w:ascii="Times New Roman;serif" w:hAnsi="Times New Roman;serif"/>
                <w:b w:val="false"/>
                <w:color w:val="000000"/>
                <w:sz w:val="9"/>
              </w:rPr>
              <w:t>(8)</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3/10/2025</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6,338 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(2,079)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86 BTC</w:t>
            </w:r>
            <w:r>
              <w:rPr>
                <w:rFonts w:ascii="Times New Roman;serif" w:hAnsi="Times New Roman;serif"/>
                <w:b w:val="false"/>
                <w:color w:val="000000"/>
                <w:sz w:val="9"/>
              </w:rPr>
              <w:t>(9)</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3/11/2025</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2,500 ETH</w:t>
            </w:r>
            <w:r>
              <w:rPr>
                <w:rFonts w:ascii="Times New Roman;serif" w:hAnsi="Times New Roman;serif"/>
                <w:b w:val="false"/>
                <w:color w:val="000000"/>
                <w:sz w:val="9"/>
              </w:rPr>
              <w:t>(10)</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3/28/2025</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10,000 ETH</w:t>
            </w:r>
            <w:r>
              <w:rPr>
                <w:rFonts w:ascii="Times New Roman;serif" w:hAnsi="Times New Roman;serif"/>
                <w:b w:val="false"/>
                <w:color w:val="000000"/>
                <w:sz w:val="9"/>
              </w:rPr>
              <w:t>(11)</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4/7/2025</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24,756 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1,275 BTC</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7/24/2025</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150,959 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111,105 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r>
          </w:p>
        </w:tc>
        <w:tc>
          <w:tcPr>
            <w:tcW w:w="53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560,107 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220,798 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410,549 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(257,266)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402,501 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225,124 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24,197 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1,430 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__________________</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395 bitcoin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1,098 bitcoin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(3) 26,629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(4) 217 bitcoin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(5) 5,200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(6) 3,000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(7) 5,280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(8) 3,400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(9) 86 bitcoin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(10) 2,500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(11) 10,000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(12) Prior year interest accrued of $2.1 million was 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(13) Outstanding interest balances payable to WCF are included in Related party loans on the condensed consolidated balance sheets as of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(14) 4,619 bitcoin and 0 ether was outstanding as of December 31, 2025.</w:t>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During the year ended December 31, 2025, the Company entered into multiple additional lending agreements with WCF. The Company primarily uses the crypto assets obtained from these agreements as collateral for third party loans. Refer to </w:t>
      </w:r>
      <w:r>
        <w:rPr>
          <w:rFonts w:ascii="Times New Roman;serif" w:hAnsi="Times New Roman;serif"/>
          <w:b w:val="false"/>
          <w:i/>
          <w:color w:val="000000"/>
          <w:sz w:val="20"/>
        </w:rPr>
        <w:t>Note 15. Third Party Loans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Convertible notes and term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IPO in September 2025, the Company entered into a series of convertible note and term loan agreements with WCF (collectively, the “Convertible Notes”) and to provide funding for general operating purposes. Upon the consummation of the IPO in September 2025, all Convertible Notes were fully converted into shares of Class B common stock and were no longer outstanding as of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Third Party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New York Digital Investment Group Funding LLC (“NYDIG”) Repurchase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25, 2025, the Company entered into a $75.0 million repurchase agreement with NYDIG to facilitate a structured crypto asset financing arrangement involving bitcoin. At inception, pursuant to the agreement, the Company transferred 1,078 BTC with a nominal value of $125.25 million to NYDIG in exchange for cash proceeds of $75.0 million (the “Purchase Price”) and agreed to repurchase the same amount of BTC on June 30, 2026 at the Purchase Price plus an agreed annual interest rate of 8.50%. The agreement requires the Company to maintain additional collateral coverage within specified thresholds and permits the Company to satisfy margin requirements through the transfer of additional BTC or cash and cash equivalents, such that the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collateral held by NYDIG in relation to the sale and repurchase agreement is maintained between 143% and 200% of the $75.0 million Purchase Price.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Repurchase agreement as of March 31, 2026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6"/>
        <w:gridCol w:w="252"/>
        <w:gridCol w:w="256"/>
        <w:gridCol w:w="225"/>
        <w:gridCol w:w="225"/>
        <w:gridCol w:w="227"/>
        <w:gridCol w:w="339"/>
        <w:gridCol w:w="339"/>
        <w:gridCol w:w="341"/>
        <w:gridCol w:w="286"/>
        <w:gridCol w:w="944"/>
        <w:gridCol w:w="160"/>
        <w:gridCol w:w="295"/>
        <w:gridCol w:w="295"/>
        <w:gridCol w:w="295"/>
        <w:gridCol w:w="297"/>
        <w:gridCol w:w="297"/>
        <w:gridCol w:w="299"/>
        <w:gridCol w:w="260"/>
        <w:gridCol w:w="740"/>
        <w:gridCol w:w="144"/>
        <w:gridCol w:w="283"/>
        <w:gridCol w:w="608"/>
        <w:gridCol w:w="157"/>
        <w:gridCol w:w="381"/>
        <w:gridCol w:w="381"/>
        <w:gridCol w:w="383"/>
        <w:gridCol w:w="349"/>
        <w:gridCol w:w="349"/>
        <w:gridCol w:w="512"/>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w:t>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Date</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w:t>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Payable</w:t>
            </w:r>
            <w:r>
              <w:rPr>
                <w:rFonts w:ascii="Times New Roman;serif" w:hAnsi="Times New Roman;serif"/>
                <w:b/>
                <w:color w:val="000000"/>
                <w:sz w:val="10"/>
              </w:rPr>
              <w:t>(1)</w:t>
            </w:r>
          </w:p>
        </w:tc>
        <w:tc>
          <w:tcPr>
            <w:tcW w:w="1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Type</w:t>
            </w:r>
            <w:r>
              <w:rPr>
                <w:rFonts w:ascii="Times New Roman;serif" w:hAnsi="Times New Roman;serif"/>
                <w:b/>
                <w:color w:val="000000"/>
                <w:sz w:val="10"/>
              </w:rPr>
              <w:t>(2)</w:t>
            </w:r>
          </w:p>
        </w:tc>
        <w:tc>
          <w:tcPr>
            <w:tcW w:w="121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Rate</w:t>
            </w:r>
            <w:r>
              <w:rPr>
                <w:rFonts w:ascii="Times New Roman;serif" w:hAnsi="Times New Roman;serif"/>
                <w:b/>
                <w:color w:val="000000"/>
                <w:sz w:val="10"/>
              </w:rPr>
              <w:t>(2)</w:t>
            </w:r>
          </w:p>
        </w:tc>
      </w:tr>
      <w:tr>
        <w:trPr/>
        <w:tc>
          <w:tcPr>
            <w:tcW w:w="7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NYDIG</w:t>
            </w:r>
          </w:p>
        </w:tc>
        <w:tc>
          <w:tcPr>
            <w:tcW w:w="6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7/25/2025</w:t>
            </w:r>
          </w:p>
        </w:tc>
        <w:tc>
          <w:tcPr>
            <w:tcW w:w="10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6/30/2026</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2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1,792 </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157%</w:t>
            </w:r>
          </w:p>
        </w:tc>
      </w:tr>
      <w:tr>
        <w:trPr/>
        <w:tc>
          <w:tcPr>
            <w:tcW w:w="899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Outstanding interest balances payable to a third party are included in Third party loans on the condensed consolidated balance sheets as of March 31, 2026.</w:t>
            </w:r>
          </w:p>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(2) As of March 31, 2026, the Company had pledged 1,725 BTC to satisfy margin requirements, which is included in Crypto assets held on the condensed consolidated balance sheets. Total collateral associated with the repurchase agreement as of March 31, 2026 was approximately $117.7 million, representing collateralization of approximately 157% of the purchase price. If the value of the collateral held by NYDIG falls below the 143% buyer’s margin call requirement, the Company must transfer additional BTC or cash and cash equivalents to NYDIG to restore the required collateral level. If the value of the collateral (including BTC and cash posted as margin) held by NYDIG increases above the 200% seller’s margin call requirement, the Company may require NYDIG to return excess collateral, which may be satisfied through the transfer of BTC or the return of cash and cash equivalents previously deposited by the Company to satisfy margin requirements. </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Repurchase agreement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4"/>
        <w:gridCol w:w="250"/>
        <w:gridCol w:w="254"/>
        <w:gridCol w:w="226"/>
        <w:gridCol w:w="226"/>
        <w:gridCol w:w="227"/>
        <w:gridCol w:w="339"/>
        <w:gridCol w:w="339"/>
        <w:gridCol w:w="341"/>
        <w:gridCol w:w="286"/>
        <w:gridCol w:w="946"/>
        <w:gridCol w:w="160"/>
        <w:gridCol w:w="293"/>
        <w:gridCol w:w="293"/>
        <w:gridCol w:w="293"/>
        <w:gridCol w:w="298"/>
        <w:gridCol w:w="298"/>
        <w:gridCol w:w="299"/>
        <w:gridCol w:w="260"/>
        <w:gridCol w:w="739"/>
        <w:gridCol w:w="144"/>
        <w:gridCol w:w="284"/>
        <w:gridCol w:w="611"/>
        <w:gridCol w:w="158"/>
        <w:gridCol w:w="381"/>
        <w:gridCol w:w="381"/>
        <w:gridCol w:w="383"/>
        <w:gridCol w:w="350"/>
        <w:gridCol w:w="350"/>
        <w:gridCol w:w="512"/>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Date</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Payable</w:t>
            </w:r>
            <w:r>
              <w:rPr>
                <w:rFonts w:ascii="Times New Roman;serif" w:hAnsi="Times New Roman;serif"/>
                <w:b/>
                <w:color w:val="000000"/>
                <w:sz w:val="10"/>
              </w:rPr>
              <w:t>(1)</w:t>
            </w:r>
          </w:p>
        </w:tc>
        <w:tc>
          <w:tcPr>
            <w:tcW w:w="1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Type</w:t>
            </w:r>
            <w:r>
              <w:rPr>
                <w:rFonts w:ascii="Times New Roman;serif" w:hAnsi="Times New Roman;serif"/>
                <w:b/>
                <w:color w:val="000000"/>
                <w:sz w:val="10"/>
              </w:rPr>
              <w:t>(2)</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Rate</w:t>
            </w:r>
            <w:r>
              <w:rPr>
                <w:rFonts w:ascii="Times New Roman;serif" w:hAnsi="Times New Roman;serif"/>
                <w:b/>
                <w:color w:val="000000"/>
                <w:sz w:val="10"/>
              </w:rPr>
              <w:t>(3)</w:t>
            </w:r>
          </w:p>
        </w:tc>
      </w:tr>
      <w:tr>
        <w:trPr/>
        <w:tc>
          <w:tcPr>
            <w:tcW w:w="78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NYDIG</w:t>
            </w:r>
          </w:p>
        </w:tc>
        <w:tc>
          <w:tcPr>
            <w:tcW w:w="6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7/25/2025</w:t>
            </w:r>
          </w:p>
        </w:tc>
        <w:tc>
          <w:tcPr>
            <w:tcW w:w="10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6/30/2026</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3,185 </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170%</w:t>
            </w:r>
          </w:p>
        </w:tc>
      </w:tr>
      <w:tr>
        <w:trPr/>
        <w:tc>
          <w:tcPr>
            <w:tcW w:w="899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Outstanding interest balances payable to a third party are included in Third party loans on the condensed consolidated balance sheets as of December 31, 2025.</w:t>
            </w:r>
          </w:p>
          <w:p>
            <w:pPr>
              <w:pStyle w:val="TableContents"/>
              <w:bidi w:val="0"/>
              <w:spacing w:lineRule="auto" w:line="288" w:before="0" w:after="0"/>
              <w:ind w:left="0" w:right="0" w:hanging="180"/>
              <w:jc w:val="left"/>
              <w:rPr/>
            </w:pPr>
            <w:r>
              <w:rPr>
                <w:rFonts w:ascii="Times New Roman;serif" w:hAnsi="Times New Roman;serif"/>
                <w:b w:val="false"/>
                <w:color w:val="000000"/>
                <w:sz w:val="14"/>
              </w:rPr>
              <w:t>(2) As of December 31, 2025, the Company had pledged 1,275 BTC, which is included in Crypto assets held on the condensed consolidated balance sheets</w:t>
            </w:r>
            <w:r>
              <w:rPr>
                <w:rFonts w:ascii="Arial;sans-serif" w:hAnsi="Arial;sans-serif"/>
                <w:b w:val="false"/>
                <w:color w:val="000000"/>
                <w:sz w:val="14"/>
              </w:rPr>
              <w:t xml:space="preserve">, </w:t>
            </w:r>
            <w:r>
              <w:rPr>
                <w:rFonts w:ascii="Times New Roman;serif" w:hAnsi="Times New Roman;serif"/>
                <w:b w:val="false"/>
                <w:color w:val="000000"/>
                <w:sz w:val="14"/>
              </w:rPr>
              <w:t>and posted $16.4 million of cash and cash equivalents to satisfy margin requirements, which is included within Other current assets on the consolidated balance sheets. Total collateral associated with the repurchase agreement as of December 31, 2025 was approximately $127.5 million, representing collateralization of approximately 170% of the purchase price.</w:t>
            </w:r>
          </w:p>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(3) Of the 1,275 BTC pledged, 13 BTC was subject to margin requirements as of December 31, 2025. If the value of the collateral held by NYDIG falls below the 143% buyer’s margin call requirement, the Company must transfer additional BTC or cash and cash equivalents to NYDIG to restore the required collateral level. If the value of the collateral (including BTC and cash posted as margin) held by NYDIG increases above the 200% seller’s margin call requirement, the Company may require NYDIG to return excess collateral, which may be satisfied through the transfer of BTC or the return of cash and cash equivalents previously deposited by the Company to satisfy margin requirements.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Funding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entered into a $75.0 million warehouse credit agreement with Ripple Labs Inc. (“Ripple”), an unrelated third party, to finance credit card receivables. Pursuant to the agreement, Ripple committed to lend the Company $75.0 million, with the commitment amount eligible to increase, subject to the attainment of certain agreed upon metrics, up to a maximum aggregate commitment amount of $150.0 million, prior to amendment. Ripple may restrict additional drawdowns on the warehouse credit facility if the Company does not maintain at least $50 million equivalent of USD denominated Ripple stablecoin (“RLUSD”) in its wallets held on its exchange platform by January 11, 2026. The debt is collateralized by the credit card receivables purchased by the Company, and bears interest at a rate of 6.50%.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26, 2025, the Company entered into a second amendment to the credit agreement with Ripple, which temporarily increases the lending commitment to $250.0 million through July 1, 2026. In connection with the temporary increase, the interest rate increased from 6.50% to 7.00%. The amendment requires the Company to pledge RLUSD collateral equal to at least 20% of the outstanding loan amount by January 31, 2026, subject to specified custody and control arrangements, and includes a covenant requiring the Company to maintain minimum RLUSD activity levels, with cash penalties and potential events of default for noncompliance. If the outstanding balance is not reduced to $150.0 million or less by July 2, 2026, the interest rate increases to 10.00% and the enhanced collateral and covenant requirements remain in effect until such reduction occurs.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drew $435.2 million and repaid $449.3 million under the warehouse credit agreement. Accordingly, as of March 31, 2026, the Company had $110.0 million of unused, available borrowing capacity from the credit agreement. Borrowings under the warehouse credit agreement are secured by substantially all credit card receivables purchased under the credit card program agreement. As of March 31, 2026, the Company pledged $184.0 million of credit card receivables as collateral associated with this credit agreement. Credit card receivables pledged are included in Credit card receivables pledged, net on the condensed consolidated balance sheets. The securitized funding debt entered into by the Company is summarized below (in thousands).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Funding Debt as of March 31, 2026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8"/>
        <w:gridCol w:w="272"/>
        <w:gridCol w:w="268"/>
        <w:gridCol w:w="350"/>
        <w:gridCol w:w="350"/>
        <w:gridCol w:w="353"/>
        <w:gridCol w:w="487"/>
        <w:gridCol w:w="487"/>
        <w:gridCol w:w="489"/>
        <w:gridCol w:w="399"/>
        <w:gridCol w:w="1502"/>
        <w:gridCol w:w="222"/>
        <w:gridCol w:w="437"/>
        <w:gridCol w:w="437"/>
        <w:gridCol w:w="439"/>
        <w:gridCol w:w="372"/>
        <w:gridCol w:w="1058"/>
        <w:gridCol w:w="207"/>
        <w:gridCol w:w="444"/>
        <w:gridCol w:w="956"/>
        <w:gridCol w:w="358"/>
      </w:tblGrid>
      <w:tr>
        <w:trPr/>
        <w:tc>
          <w:tcPr>
            <w:tcW w:w="31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Loan</w:t>
            </w:r>
            <w:r>
              <w:rPr>
                <w:rFonts w:ascii="Times New Roman;serif" w:hAnsi="Times New Roman;serif"/>
                <w:b/>
                <w:color w:val="000000"/>
                <w:sz w:val="10"/>
              </w:rPr>
              <w:t>(1)</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Date</w:t>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13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 Rate</w:t>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75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Interest Payable</w:t>
            </w:r>
            <w:r>
              <w:rPr>
                <w:rFonts w:ascii="Times New Roman;serif" w:hAnsi="Times New Roman;serif"/>
                <w:b/>
                <w:color w:val="000000"/>
                <w:sz w:val="10"/>
              </w:rPr>
              <w:t>(2)</w:t>
            </w:r>
          </w:p>
        </w:tc>
      </w:tr>
      <w:tr>
        <w:trPr/>
        <w:tc>
          <w:tcPr>
            <w:tcW w:w="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Ripple</w:t>
            </w:r>
          </w:p>
        </w:tc>
        <w:tc>
          <w:tcPr>
            <w:tcW w:w="105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7/11/2025</w:t>
            </w:r>
          </w:p>
        </w:tc>
        <w:tc>
          <w:tcPr>
            <w:tcW w:w="146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11/15/2027</w:t>
            </w:r>
          </w:p>
        </w:tc>
        <w:tc>
          <w:tcPr>
            <w:tcW w:w="3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140,030 </w:t>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2,495 </w:t>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3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As of March 31, 2026, the Company has pledged credit receivables included in Credit card receivables pledged on the condensed consolidated balance sheets. Total collateral associated with these loans as of March 31, 2026 was approximately $184.0 million.</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Outstanding interest balances payable for the securitized debt are included in Funding debt on the condensed consolidated balance sheets as of March 31, 2026.</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Funding Debt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7"/>
        <w:gridCol w:w="271"/>
        <w:gridCol w:w="267"/>
        <w:gridCol w:w="346"/>
        <w:gridCol w:w="346"/>
        <w:gridCol w:w="348"/>
        <w:gridCol w:w="482"/>
        <w:gridCol w:w="482"/>
        <w:gridCol w:w="484"/>
        <w:gridCol w:w="395"/>
        <w:gridCol w:w="1484"/>
        <w:gridCol w:w="219"/>
        <w:gridCol w:w="468"/>
        <w:gridCol w:w="468"/>
        <w:gridCol w:w="471"/>
        <w:gridCol w:w="368"/>
        <w:gridCol w:w="1048"/>
        <w:gridCol w:w="205"/>
        <w:gridCol w:w="438"/>
        <w:gridCol w:w="942"/>
        <w:gridCol w:w="356"/>
      </w:tblGrid>
      <w:tr>
        <w:trPr/>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Loan</w:t>
            </w:r>
            <w:r>
              <w:rPr>
                <w:rFonts w:ascii="Times New Roman;serif" w:hAnsi="Times New Roman;serif"/>
                <w:b/>
                <w:color w:val="000000"/>
                <w:sz w:val="10"/>
              </w:rPr>
              <w:t>(1)</w:t>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Date</w:t>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140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Interest Rate</w:t>
            </w:r>
            <w:r>
              <w:rPr>
                <w:rFonts w:ascii="Times New Roman;serif" w:hAnsi="Times New Roman;serif"/>
                <w:b/>
                <w:color w:val="000000"/>
                <w:sz w:val="10"/>
              </w:rPr>
              <w:t>(2)</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7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Interest Payable</w:t>
            </w:r>
            <w:r>
              <w:rPr>
                <w:rFonts w:ascii="Times New Roman;serif" w:hAnsi="Times New Roman;serif"/>
                <w:b/>
                <w:color w:val="000000"/>
                <w:sz w:val="10"/>
              </w:rPr>
              <w:t>(3)</w:t>
            </w:r>
          </w:p>
        </w:tc>
      </w:tr>
      <w:tr>
        <w:trPr/>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Ripple</w:t>
            </w:r>
          </w:p>
        </w:tc>
        <w:tc>
          <w:tcPr>
            <w:tcW w:w="10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7/11/2025</w:t>
            </w:r>
          </w:p>
        </w:tc>
        <w:tc>
          <w:tcPr>
            <w:tcW w:w="14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11/15/2027</w:t>
            </w:r>
          </w:p>
        </w:tc>
        <w:tc>
          <w:tcPr>
            <w:tcW w:w="3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154,120 </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3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As of December 31, 2025, the Company has pledged credit card receivables included in Credit card receivables pledged on the condensed consolidated balance sheets. Total collateral associated with these loans as of December 31, 2025 was approximately $188.8 million.</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On December 26, 2025, the interest rate was increased from 6.5% to 7.0%.</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(3) Outstanding interest balances payable for the securitized debt are included in Funding debt on the condensed consolidated balance sheets as of December 31, 2025.</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17. Preferred Units &amp; Capital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Convertible Preferred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IPO in September 2025, the Company had Series A preferred units (“Series A Units”) and Series B preferred units (“Series B Units”), collectively the “Convertible Preferred Units,” that were issued and outstanding. In connection with the IPO in September 2025, all outstanding shares of the Convertible Preferred Units were converted into shares of Class A common stock and Class B common stock based on the terms of the conversion ratio, and their carrying value was reclassified into stockholders' equity.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authorized 20,000,000 shares of preferred stock for issuance, at a par value of $0.001 per share. No shares of preferred stock were issued and outstanding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Common Stock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authorized a total of 1.0 billion shares of Class A common stock with a par value of $0.001 per share and 100.0 million shares of Class B common stock with a par value of $0.001 per share. As of March 31, 2026, the Company had 44,007,137</w:t>
      </w:r>
      <w:r>
        <w:rPr>
          <w:color w:val="000000"/>
        </w:rPr>
        <w:t xml:space="preserve"> </w:t>
      </w:r>
      <w:r>
        <w:rPr>
          <w:rFonts w:ascii="Times New Roman;serif" w:hAnsi="Times New Roman;serif"/>
          <w:b w:val="false"/>
          <w:color w:val="000000"/>
          <w:sz w:val="20"/>
        </w:rPr>
        <w:t xml:space="preserve">shares of Class A common stock and 75,126,784 shares of Class B common stock issued and outstanding.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Gemini's Class A common stock are entitled to one vote for each share of common stock held. The holders of Gemini's Class B common stock are entitled to ten votes for each share of common stock held. Holders of Class A common stock and Class B common stock generally vote together as a single class on all matters submitted to a vote of the stockholders of the Company.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dividend and liquidation rights of the holders of the Company's Class A and Class B common stock are subject to declarations by the board and any restrictions imposed by the terms of any outstanding preferred stock. Upon liquidation, dissolution or winding up of the Company, assets legally available for distribution to stockholders will be distributed ratably among the holders of Class A and Class B common stock, subject to prior satisfaction of all outstanding debts and other liabilities and the payment of liquidation preferences, if any, on any outstanding 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are convertible at any time at the option of the holder into shares of Class A common stock on a one-to-one basis. In addition, each share of Class B common stock will automatically convert into a share of Class A common stock upon a transfer, except for certain permitted transfers described in the Company's amended and restated articles of incorporation, and in certain other circumstances. Further, all outstanding shares of Class B common stock will automatically convert into Class A common stock upon the earliest of (i) the death or disability of the last surviving founder or (ii) the date the founders and their permitted transferees collectively hold less than 20% of the Class B common stock outstanding immediately following the closing of our initial public offering.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outstanding shares of the Company's Class A and Class B common stock are fully paid and non-assessable. Holders of Class A and Class B common stock do not have preemptive, subscription, redemption, or sinking fund rights. The rights of holders of the Company's Class A common stock are subject to and qualified by the rights, powers, and preferences of the holders of any preferred stock that we may issue from time to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18.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Equity Plan became effective on September 12, 2025. Under the Equity Plan, the Company is authorized to grant shares of common stock in the form of stock options, RSUs, and RSAs to employees, directors, and consultants. As of March 31, 2026, there were 15,247,387 shares of Class A common stock subject to issued and outstanding RSUs and stock options under the Equity Plan. As of March 31, 2026, the Company had 15,728,436 shares available for future issuance under the Equity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Employee Stock Purchase Plan (“ESPP”)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ESPP became effective on September 12, 2025. An aggregate of 8,557,801 shares of the Company’s Class A common stock has been authorized for issuance under the ESPP. During the three months ended March 31, 2026, no shares were purchased under the ESPP. As of March 31, 2026, all 8,557,801 shares remained available for future issuance under the ESPP. The Company did not recognize any stock-based compensation expense or liability related to the ESPP for the three months ended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for the three months ended March 31, 2026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8305" w:type="dxa"/>
        <w:jc w:val="left"/>
        <w:tblInd w:w="0" w:type="dxa"/>
        <w:tblLayout w:type="fixed"/>
        <w:tblCellMar>
          <w:top w:w="28" w:type="dxa"/>
          <w:left w:w="28" w:type="dxa"/>
          <w:bottom w:w="28" w:type="dxa"/>
          <w:right w:w="28" w:type="dxa"/>
        </w:tblCellMar>
      </w:tblPr>
      <w:tblGrid>
        <w:gridCol w:w="868"/>
        <w:gridCol w:w="765"/>
        <w:gridCol w:w="767"/>
        <w:gridCol w:w="479"/>
        <w:gridCol w:w="479"/>
        <w:gridCol w:w="481"/>
        <w:gridCol w:w="109"/>
        <w:gridCol w:w="109"/>
        <w:gridCol w:w="109"/>
        <w:gridCol w:w="893"/>
        <w:gridCol w:w="2540"/>
        <w:gridCol w:w="706"/>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2025</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8,669 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March 31, 2026</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total unrecognized compensation expense related to RSUs amounted to $72.3 million. The unrecognized expense for the RSUs is expected to be recognized over a weighted-average period of 2.3 years, subject to continued vesting.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fair value for the RSUs which vested during the three months ended March 31, 2026 was $19.7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RSA activity for the three months ended March 31, 2026 (in thousands):</w:t>
      </w:r>
    </w:p>
    <w:p>
      <w:pPr>
        <w:pStyle w:val="TextBody"/>
        <w:bidi w:val="0"/>
        <w:spacing w:before="0" w:after="0"/>
        <w:jc w:val="both"/>
        <w:rPr/>
      </w:pPr>
      <w:r>
        <w:rPr/>
      </w:r>
    </w:p>
    <w:tbl>
      <w:tblPr>
        <w:tblW w:w="8231" w:type="dxa"/>
        <w:jc w:val="left"/>
        <w:tblInd w:w="0" w:type="dxa"/>
        <w:tblLayout w:type="fixed"/>
        <w:tblCellMar>
          <w:top w:w="28" w:type="dxa"/>
          <w:left w:w="28" w:type="dxa"/>
          <w:bottom w:w="28" w:type="dxa"/>
          <w:right w:w="28" w:type="dxa"/>
        </w:tblCellMar>
      </w:tblPr>
      <w:tblGrid>
        <w:gridCol w:w="868"/>
        <w:gridCol w:w="765"/>
        <w:gridCol w:w="767"/>
        <w:gridCol w:w="454"/>
        <w:gridCol w:w="454"/>
        <w:gridCol w:w="456"/>
        <w:gridCol w:w="109"/>
        <w:gridCol w:w="109"/>
        <w:gridCol w:w="109"/>
        <w:gridCol w:w="993"/>
        <w:gridCol w:w="2364"/>
        <w:gridCol w:w="783"/>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RSA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2025</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3,180 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March 31, 2026</w:t>
            </w:r>
          </w:p>
        </w:tc>
        <w:tc>
          <w:tcPr>
            <w:tcW w:w="9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total unrecognized compensation expense related to RSAs amounted to $3.3 million. The unrecognized expense for the RSAs is expected to be recognized over a weighted-average period of 1.4 years, subject to continued vesting.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fair value for the RSAs which vested during the three months ended March 31, 2026 was $1.6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Time-Based Stock Options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time-based stock options activity for the three months ended March 31, 2026 (in thousands):</w:t>
      </w:r>
    </w:p>
    <w:tbl>
      <w:tblPr>
        <w:tblW w:w="10205" w:type="dxa"/>
        <w:jc w:val="left"/>
        <w:tblInd w:w="0" w:type="dxa"/>
        <w:tblLayout w:type="fixed"/>
        <w:tblCellMar>
          <w:top w:w="28" w:type="dxa"/>
          <w:left w:w="28" w:type="dxa"/>
          <w:bottom w:w="28" w:type="dxa"/>
          <w:right w:w="28" w:type="dxa"/>
        </w:tblCellMar>
      </w:tblPr>
      <w:tblGrid>
        <w:gridCol w:w="951"/>
        <w:gridCol w:w="837"/>
        <w:gridCol w:w="840"/>
        <w:gridCol w:w="678"/>
        <w:gridCol w:w="678"/>
        <w:gridCol w:w="681"/>
        <w:gridCol w:w="109"/>
        <w:gridCol w:w="109"/>
        <w:gridCol w:w="109"/>
        <w:gridCol w:w="587"/>
        <w:gridCol w:w="1669"/>
        <w:gridCol w:w="329"/>
        <w:gridCol w:w="109"/>
        <w:gridCol w:w="109"/>
        <w:gridCol w:w="109"/>
        <w:gridCol w:w="345"/>
        <w:gridCol w:w="345"/>
        <w:gridCol w:w="346"/>
        <w:gridCol w:w="109"/>
        <w:gridCol w:w="109"/>
        <w:gridCol w:w="109"/>
        <w:gridCol w:w="241"/>
        <w:gridCol w:w="499"/>
        <w:gridCol w:w="198"/>
      </w:tblGrid>
      <w:tr>
        <w:trPr/>
        <w:tc>
          <w:tcPr>
            <w:tcW w:w="95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26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Ou</w:t>
            </w:r>
            <w:r>
              <w:rPr>
                <w:rFonts w:ascii="Times New Roman;serif" w:hAnsi="Times New Roman;serif"/>
                <w:b w:val="false"/>
                <w:color w:val="000000"/>
                <w:sz w:val="20"/>
              </w:rPr>
              <w:t>t</w:t>
            </w:r>
            <w:r>
              <w:rPr>
                <w:rFonts w:ascii="Times New Roman;serif" w:hAnsi="Times New Roman;serif"/>
                <w:b w:val="false"/>
                <w:color w:val="000000"/>
                <w:sz w:val="18"/>
              </w:rPr>
              <w:t>stan</w:t>
            </w:r>
            <w:r>
              <w:rPr>
                <w:rFonts w:ascii="Times New Roman;serif" w:hAnsi="Times New Roman;serif"/>
                <w:b w:val="false"/>
                <w:color w:val="000000"/>
                <w:sz w:val="20"/>
              </w:rPr>
              <w:t>ding</w:t>
            </w:r>
            <w:r>
              <w:rPr>
                <w:color w:val="000000"/>
              </w:rPr>
              <w:t xml:space="preserve"> </w:t>
            </w:r>
            <w:r>
              <w:rPr>
                <w:rFonts w:ascii="Times New Roman;serif" w:hAnsi="Times New Roman;serif"/>
                <w:b w:val="false"/>
                <w:color w:val="000000"/>
                <w:sz w:val="18"/>
              </w:rPr>
              <w:t>at December 31, 2025</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5938" w:type="dxa"/>
        <w:jc w:val="left"/>
        <w:tblInd w:w="0" w:type="dxa"/>
        <w:tblLayout w:type="fixed"/>
        <w:tblCellMar>
          <w:top w:w="28" w:type="dxa"/>
          <w:left w:w="28" w:type="dxa"/>
          <w:bottom w:w="28" w:type="dxa"/>
          <w:right w:w="28" w:type="dxa"/>
        </w:tblCellMar>
      </w:tblPr>
      <w:tblGrid>
        <w:gridCol w:w="891"/>
        <w:gridCol w:w="781"/>
        <w:gridCol w:w="788"/>
        <w:gridCol w:w="203"/>
        <w:gridCol w:w="203"/>
        <w:gridCol w:w="109"/>
        <w:gridCol w:w="109"/>
        <w:gridCol w:w="109"/>
        <w:gridCol w:w="109"/>
        <w:gridCol w:w="196"/>
        <w:gridCol w:w="406"/>
        <w:gridCol w:w="109"/>
        <w:gridCol w:w="109"/>
        <w:gridCol w:w="109"/>
        <w:gridCol w:w="109"/>
        <w:gridCol w:w="203"/>
        <w:gridCol w:w="203"/>
        <w:gridCol w:w="109"/>
        <w:gridCol w:w="109"/>
        <w:gridCol w:w="109"/>
        <w:gridCol w:w="109"/>
        <w:gridCol w:w="196"/>
        <w:gridCol w:w="40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Out</w:t>
            </w:r>
            <w:r>
              <w:rPr>
                <w:rFonts w:ascii="Times New Roman;serif" w:hAnsi="Times New Roman;serif"/>
                <w:b w:val="false"/>
                <w:color w:val="000000"/>
                <w:sz w:val="20"/>
              </w:rPr>
              <w:t>standing</w:t>
            </w:r>
            <w:r>
              <w:rPr>
                <w:color w:val="000000"/>
              </w:rPr>
              <w:t xml:space="preserve"> </w:t>
            </w:r>
            <w:r>
              <w:rPr>
                <w:rFonts w:ascii="Times New Roman;serif" w:hAnsi="Times New Roman;serif"/>
                <w:b w:val="false"/>
                <w:color w:val="000000"/>
                <w:sz w:val="18"/>
              </w:rPr>
              <w:t>at March 31, 2026</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at March 31, 2026</w:t>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no time-based stock options remained outstanding and there is no remaining unrecognized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takes into consideration many factors in determining the fair value of the time-based stock options and estimates the fair value of such awards on the grant date. The Company used the Black-Scholes-Merton option pricing model to estimate the fair value of the time-based stock options with the following assumptions as of March 31, 2026:</w:t>
      </w:r>
    </w:p>
    <w:p>
      <w:pPr>
        <w:pStyle w:val="TextBody"/>
        <w:bidi w:val="0"/>
        <w:spacing w:before="0" w:after="0"/>
        <w:jc w:val="both"/>
        <w:rPr/>
      </w:pPr>
      <w:r>
        <w:rPr/>
      </w:r>
    </w:p>
    <w:tbl>
      <w:tblPr>
        <w:tblW w:w="2872" w:type="dxa"/>
        <w:jc w:val="left"/>
        <w:tblInd w:w="0" w:type="dxa"/>
        <w:tblLayout w:type="fixed"/>
        <w:tblCellMar>
          <w:top w:w="28" w:type="dxa"/>
          <w:left w:w="28" w:type="dxa"/>
          <w:bottom w:w="28" w:type="dxa"/>
          <w:right w:w="28" w:type="dxa"/>
        </w:tblCellMar>
      </w:tblPr>
      <w:tblGrid>
        <w:gridCol w:w="624"/>
        <w:gridCol w:w="549"/>
        <w:gridCol w:w="552"/>
        <w:gridCol w:w="202"/>
        <w:gridCol w:w="202"/>
        <w:gridCol w:w="480"/>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Assumptions</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8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Expected term in years</w:t>
      </w:r>
      <w:r>
        <w:rPr>
          <w:color w:val="000000"/>
        </w:rPr>
        <w:t xml:space="preserve"> </w:t>
      </w:r>
      <w:r>
        <w:rPr>
          <w:rFonts w:ascii="Times New Roman;serif" w:hAnsi="Times New Roman;serif"/>
          <w:b w:val="false"/>
          <w:color w:val="000000"/>
          <w:sz w:val="20"/>
        </w:rPr>
        <w:t>- The expected term is based on the average period the time-based stock options are expected to remain outstanding, generally calculated as the midpoint of the time-based stock options' remaining vesting term and contractual expiration period, as the Company does not have sufficient historical information to develop reasonable expectations about future exercise patterns and post-vesting employment termination behavior.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Volatility</w:t>
      </w:r>
      <w:r>
        <w:rPr>
          <w:color w:val="000000"/>
        </w:rPr>
        <w:t xml:space="preserve"> </w:t>
      </w:r>
      <w:r>
        <w:rPr>
          <w:rFonts w:ascii="Times New Roman;serif" w:hAnsi="Times New Roman;serif"/>
          <w:b w:val="false"/>
          <w:color w:val="000000"/>
          <w:sz w:val="20"/>
        </w:rPr>
        <w:t>- The expected volatility is based on the volatility of peer companies, as there is limited trading history for the Company's common stock. Management believes this is the best estimate of the expected volatility over the expected life of the time-based stock options.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Risk-free rate </w:t>
      </w:r>
      <w:r>
        <w:rPr>
          <w:rFonts w:ascii="Times New Roman;serif" w:hAnsi="Times New Roman;serif"/>
          <w:b w:val="false"/>
          <w:color w:val="000000"/>
          <w:sz w:val="20"/>
        </w:rPr>
        <w:t>- The risk-free interest rate is based on the U.S. Treasury yield curve that corresponds with the expected term at the time of grant.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Dividend yield </w:t>
      </w:r>
      <w:r>
        <w:rPr>
          <w:rFonts w:ascii="Times New Roman;serif" w:hAnsi="Times New Roman;serif"/>
          <w:b w:val="false"/>
          <w:color w:val="000000"/>
          <w:sz w:val="20"/>
        </w:rPr>
        <w:t>- The Company has not paid and does not expect to pay dividends. Consequently, the Company uses an expected dividend yield of zero.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Market-Based Stock Options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market-based stock options activity for the three months ended March 31, 2026 (in thousands):</w:t>
      </w:r>
    </w:p>
    <w:tbl>
      <w:tblPr>
        <w:tblW w:w="10205" w:type="dxa"/>
        <w:jc w:val="left"/>
        <w:tblInd w:w="0" w:type="dxa"/>
        <w:tblLayout w:type="fixed"/>
        <w:tblCellMar>
          <w:top w:w="28" w:type="dxa"/>
          <w:left w:w="28" w:type="dxa"/>
          <w:bottom w:w="28" w:type="dxa"/>
          <w:right w:w="28" w:type="dxa"/>
        </w:tblCellMar>
      </w:tblPr>
      <w:tblGrid>
        <w:gridCol w:w="932"/>
        <w:gridCol w:w="821"/>
        <w:gridCol w:w="823"/>
        <w:gridCol w:w="689"/>
        <w:gridCol w:w="688"/>
        <w:gridCol w:w="691"/>
        <w:gridCol w:w="109"/>
        <w:gridCol w:w="109"/>
        <w:gridCol w:w="109"/>
        <w:gridCol w:w="719"/>
        <w:gridCol w:w="1491"/>
        <w:gridCol w:w="400"/>
        <w:gridCol w:w="109"/>
        <w:gridCol w:w="109"/>
        <w:gridCol w:w="109"/>
        <w:gridCol w:w="345"/>
        <w:gridCol w:w="345"/>
        <w:gridCol w:w="346"/>
        <w:gridCol w:w="109"/>
        <w:gridCol w:w="109"/>
        <w:gridCol w:w="109"/>
        <w:gridCol w:w="241"/>
        <w:gridCol w:w="499"/>
        <w:gridCol w:w="194"/>
      </w:tblGrid>
      <w:tr>
        <w:trPr/>
        <w:tc>
          <w:tcPr>
            <w:tcW w:w="93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6,365 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13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6120" w:type="dxa"/>
        <w:jc w:val="left"/>
        <w:tblInd w:w="0" w:type="dxa"/>
        <w:tblLayout w:type="fixed"/>
        <w:tblCellMar>
          <w:top w:w="28" w:type="dxa"/>
          <w:left w:w="28" w:type="dxa"/>
          <w:bottom w:w="28" w:type="dxa"/>
          <w:right w:w="28" w:type="dxa"/>
        </w:tblCellMar>
      </w:tblPr>
      <w:tblGrid>
        <w:gridCol w:w="848"/>
        <w:gridCol w:w="744"/>
        <w:gridCol w:w="748"/>
        <w:gridCol w:w="278"/>
        <w:gridCol w:w="278"/>
        <w:gridCol w:w="109"/>
        <w:gridCol w:w="109"/>
        <w:gridCol w:w="109"/>
        <w:gridCol w:w="109"/>
        <w:gridCol w:w="196"/>
        <w:gridCol w:w="556"/>
        <w:gridCol w:w="109"/>
        <w:gridCol w:w="109"/>
        <w:gridCol w:w="109"/>
        <w:gridCol w:w="109"/>
        <w:gridCol w:w="203"/>
        <w:gridCol w:w="203"/>
        <w:gridCol w:w="111"/>
        <w:gridCol w:w="109"/>
        <w:gridCol w:w="109"/>
        <w:gridCol w:w="109"/>
        <w:gridCol w:w="196"/>
        <w:gridCol w:w="40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March 31, 2026</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at March 31, 2026</w:t>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total unrecognized compensation expense related to market-based stock options amounted to $106.5 million. The unrecognized expense for the stock options is expected to be recognized over a weighted-average period of 3.5 years, subject to continued vesting.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takes into consideration many factors in determining the fair value of the market-based stock options and estimates the fair value of such awards on the grant date. The Company used a Monte Carlo Simulation Model (a binomial lattice-based valuation model) to estimate the fair value of the market-based stock options with the following assumptions as of March 31, 2026:</w:t>
      </w:r>
    </w:p>
    <w:p>
      <w:pPr>
        <w:pStyle w:val="TextBody"/>
        <w:bidi w:val="0"/>
        <w:spacing w:before="0" w:after="0"/>
        <w:jc w:val="both"/>
        <w:rPr/>
      </w:pPr>
      <w:r>
        <w:rPr/>
      </w:r>
    </w:p>
    <w:tbl>
      <w:tblPr>
        <w:tblW w:w="2872" w:type="dxa"/>
        <w:jc w:val="left"/>
        <w:tblInd w:w="0" w:type="dxa"/>
        <w:tblLayout w:type="fixed"/>
        <w:tblCellMar>
          <w:top w:w="28" w:type="dxa"/>
          <w:left w:w="28" w:type="dxa"/>
          <w:bottom w:w="28" w:type="dxa"/>
          <w:right w:w="28" w:type="dxa"/>
        </w:tblCellMar>
      </w:tblPr>
      <w:tblGrid>
        <w:gridCol w:w="624"/>
        <w:gridCol w:w="549"/>
        <w:gridCol w:w="552"/>
        <w:gridCol w:w="202"/>
        <w:gridCol w:w="202"/>
        <w:gridCol w:w="480"/>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Assumptions</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8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Expected term in years</w:t>
      </w:r>
      <w:r>
        <w:rPr>
          <w:color w:val="000000"/>
        </w:rPr>
        <w:t xml:space="preserve"> </w:t>
      </w:r>
      <w:r>
        <w:rPr>
          <w:rFonts w:ascii="Times New Roman;serif" w:hAnsi="Times New Roman;serif"/>
          <w:b w:val="false"/>
          <w:color w:val="000000"/>
          <w:sz w:val="20"/>
        </w:rPr>
        <w:t>- The expected term is based on the average period the market-based stock options are expected to remain outstanding, generally calculated as the midpoint of the market-based stock options’ remaining vesting term and contractual expiration period, as the Company does not have sufficient historical information to develop reasonable expectations about future exercise patterns and post-vesting employment termination behavior.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Volatility</w:t>
      </w:r>
      <w:r>
        <w:rPr>
          <w:color w:val="000000"/>
        </w:rPr>
        <w:t xml:space="preserve"> </w:t>
      </w:r>
      <w:r>
        <w:rPr>
          <w:rFonts w:ascii="Times New Roman;serif" w:hAnsi="Times New Roman;serif"/>
          <w:b w:val="false"/>
          <w:color w:val="000000"/>
          <w:sz w:val="20"/>
        </w:rPr>
        <w:t>- The expected volatility is based on the volatility of peer companies, as there is limited trading history for the Company’s common stock. Management believes this is the best estimate of the expected volatility over the expected life of the market-based stock options.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Risk-free rate </w:t>
      </w:r>
      <w:r>
        <w:rPr>
          <w:rFonts w:ascii="Times New Roman;serif" w:hAnsi="Times New Roman;serif"/>
          <w:b w:val="false"/>
          <w:color w:val="000000"/>
          <w:sz w:val="20"/>
        </w:rPr>
        <w:t>- The risk-free interest rate is based on the U.S. Treasury yield curve that corresponds with the expected term at the time of grant.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Dividend yield </w:t>
      </w:r>
      <w:r>
        <w:rPr>
          <w:rFonts w:ascii="Times New Roman;serif" w:hAnsi="Times New Roman;serif"/>
          <w:b w:val="false"/>
          <w:color w:val="000000"/>
          <w:sz w:val="20"/>
        </w:rPr>
        <w:t>- The Company has not paid and does not expect to pay dividends. Consequently, the Company uses an expected dividend yield of zero.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Original Phantom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IPO in September 2025, the Company had Original Phantom Units that were classified as a liability in Accrued expenses on the condensed consolidated balance sheets due to the cash settlement requirements. As the service conditions were considered probable, the Company recognized a liability of $0 and $1.2 million as of March 31, 2026 and December 31, 2025,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of $24.2 million and $1.5 million for the three months ended March 31, 2026 and 2025, respectively. During the three months ended March 31, 2026 and 2025, the Company recognized an income tax benefit (provision) of $0 related to stock-based compensation expense. Stock-based compensation expense is classified within Salaries and compensation in the condensed consolidated statements of operations and comprehensive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19. Income Taxes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calculates the tax provision for interim periods using an estimated annual effective tax rate (“AETR”) adjusted for the effect of discrete items arising during the period. The Company’s effective tax rate for the three months ended March 31, 2026, was 0.0%. The Company’s effective tax rate for the three months ended March 31, 2025, was 3.2%. The effective tax rate for the three months ended March 31, 2026, was lower than the three months ended March 31, 2025, primarily due to the related increases to the continuing valuation allowance on deferred tax assets. The effective tax rate for the three months ended March 31, 2026 and 2025, was lower than the U.S. statutory rate of 21% primarily due to the continuing valuation allowance on deferred tax assets.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income taxes reflect the net effects of temporary differences between the carrying amounts of assets and liabilities for financial reporting purposes and the amounts used for income tax purposes. As of each reporting date, management considers new evidence, both positive and negative, that could affect its view of the future realization of deferred tax assets and the need for a valuation allowance. Management determined that there is insufficient positive evidence to conclude that it is more likely than not that the Company’s gross deferred tax assets will be fully realized. As a result, a valuation allowance has been maintained against the Company's deferred tax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condensed consolidated statements of financial condition as of March 31, 2026, or December 31, 2025. The Company will continue to evaluate the implications of this legislation on future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 Net Loss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the Company's IPO in September 2025, the Company had three classes of common units (collectively referred to as the “Common Units”), including profits interest units, which were considered participating securities for purposes of calculating net loss per unit. Upon the consummation of the Company's IPO, all of the Company's pre-IPO Common Units were reclassified to Class A common stock and Class B common stock. The Company has retroactively adjusted the weighted average shares outstanding prior to the IPO to reflect this reclassification. Accordingly, the condensed consolidated financial statements present all references to common stock and per share data as if the conversion of Common Units into common stock had occurred at the beginning of all periods presented.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basic and diluted net loss per share calculation for Class A common stock and Class B common stock for the three months ended March 31, 2026 and 2025, respectively, is presented below (in thousands, except per share amounts):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955"/>
        <w:gridCol w:w="815"/>
        <w:gridCol w:w="826"/>
        <w:gridCol w:w="293"/>
        <w:gridCol w:w="1027"/>
        <w:gridCol w:w="163"/>
        <w:gridCol w:w="132"/>
        <w:gridCol w:w="132"/>
        <w:gridCol w:w="132"/>
        <w:gridCol w:w="292"/>
        <w:gridCol w:w="1024"/>
        <w:gridCol w:w="162"/>
        <w:gridCol w:w="132"/>
        <w:gridCol w:w="132"/>
        <w:gridCol w:w="132"/>
        <w:gridCol w:w="305"/>
        <w:gridCol w:w="930"/>
        <w:gridCol w:w="169"/>
        <w:gridCol w:w="132"/>
        <w:gridCol w:w="132"/>
        <w:gridCol w:w="132"/>
        <w:gridCol w:w="283"/>
        <w:gridCol w:w="1118"/>
        <w:gridCol w:w="157"/>
        <w:gridCol w:w="109"/>
        <w:gridCol w:w="109"/>
        <w:gridCol w:w="109"/>
        <w:gridCol w:w="171"/>
      </w:tblGrid>
      <w:tr>
        <w:trPr/>
        <w:tc>
          <w:tcPr>
            <w:tcW w:w="95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498" w:type="dxa"/>
            <w:gridSpan w:val="4"/>
            <w:tcBorders/>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gridSpan w:val="2"/>
            <w:tcBorders/>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(38,751)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(70,227)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(139,520)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Weighted average common stock outstanding, basic and diluted</w:t>
            </w:r>
            <w:r>
              <w:rPr>
                <w:rFonts w:ascii="Times New Roman;serif" w:hAnsi="Times New Roman;serif"/>
                <w:b w:val="false"/>
                <w:color w:val="000000"/>
                <w:sz w:val="12"/>
              </w:rPr>
              <w:t>(1)(2)</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stockholders:</w:t>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707"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Prior to the IPO, the Common Units outstanding excludes 43,715,038 Common Units and 9,417,233 Catch Up Common Units that were issued and outstanding as profits interest units as of March 31, 2025. Vested Incentive Units and Convertible Preferred Units are considered as participating securities. However, these participating securities do not contractually require the holders to fund loss and were excluded from basic net loss per unit calculation for the three months ended March 31, 2025. Upon the consummation of the IPO, these units were fully converted into Class A common stock and Class B common stock and no longer outstanding.</w:t>
            </w:r>
          </w:p>
        </w:tc>
        <w:tc>
          <w:tcPr>
            <w:tcW w:w="498" w:type="dxa"/>
            <w:gridSpan w:val="4"/>
            <w:tcBorders/>
          </w:tcPr>
          <w:p>
            <w:pPr>
              <w:pStyle w:val="TableContents"/>
              <w:bidi w:val="0"/>
              <w:spacing w:before="0" w:after="283"/>
              <w:jc w:val="left"/>
              <w:rPr>
                <w:sz w:val="4"/>
                <w:szCs w:val="4"/>
              </w:rPr>
            </w:pPr>
            <w:r>
              <w:rPr>
                <w:sz w:val="4"/>
                <w:szCs w:val="4"/>
              </w:rPr>
            </w:r>
          </w:p>
        </w:tc>
      </w:tr>
      <w:tr>
        <w:trPr/>
        <w:tc>
          <w:tcPr>
            <w:tcW w:w="9707"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9"/>
              </w:rPr>
              <w:t xml:space="preserve">(2) </w:t>
            </w:r>
            <w:r>
              <w:rPr>
                <w:rFonts w:ascii="Times New Roman;serif" w:hAnsi="Times New Roman;serif"/>
                <w:b w:val="false"/>
                <w:color w:val="000000"/>
                <w:sz w:val="14"/>
              </w:rPr>
              <w:t>Prior to the IPO, weighted average common units outstanding includes only Capital Common Units A and certain Basic Common Units granted directly to individuals. The rights, including the liquidation and dividend rights, of the holders of these certain Basic Common Units and Capital Common Units A are identical and as a result, the undistributed losses are allocated on a proportionate basis and the resulting loss per share is the same. Upon the IPO, these units were fully reclassified into Class A common stock and Class B common stock and no longer outstanding. The effect of this reclassification is retroactively applied in the periods prior to the IPO.</w:t>
            </w:r>
          </w:p>
        </w:tc>
        <w:tc>
          <w:tcPr>
            <w:tcW w:w="498"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When calculating diluted net loss per share, the Company determined no adjustments to basic net loss per share were required. Prior to the Company's IPO, potentially dilutive securities included Convertible Preferred Units and Convertible Notes which could be settled in the Company's Common Units. Following the IPO, potentially dilutive securities that may be settled in the Company's Class A common stock include stock-based awards. For the periods presented, these potentially dilutive securities were excluded from the computation of diluted net loss per share because their effect would have been anti-dilutive, as the Company reported a net loss. Accordingly, the Company did not apply the if-converted method to outstanding Convertible Preferred Units and Convertible Notes or the treasury stock method to the outstanding stock-based awards. For additional information, please refer to </w:t>
      </w:r>
      <w:r>
        <w:rPr>
          <w:rFonts w:ascii="Times New Roman;serif" w:hAnsi="Times New Roman;serif"/>
          <w:b w:val="false"/>
          <w:i/>
          <w:color w:val="000000"/>
          <w:sz w:val="20"/>
        </w:rPr>
        <w:t>Note 14.</w:t>
      </w:r>
      <w:hyperlink w:anchor="i857ae978ea6641bca7d00d2722ecced9_277">
        <w:r>
          <w:rPr>
            <w:rStyle w:val="InternetLink"/>
            <w:rFonts w:ascii="Times New Roman;serif" w:hAnsi="Times New Roman;serif"/>
            <w:b w:val="false"/>
            <w:i/>
            <w:strike w:val="false"/>
            <w:dstrike w:val="false"/>
            <w:color w:val="000000"/>
            <w:sz w:val="20"/>
            <w:u w:val="none"/>
            <w:effect w:val="none"/>
          </w:rPr>
          <w:t xml:space="preserve"> Related Party Loans and Convertible Notes</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Note 17.</w:t>
      </w:r>
      <w:r>
        <w:rPr>
          <w:color w:val="000000"/>
        </w:rPr>
        <w:t xml:space="preserve"> </w:t>
      </w:r>
      <w:r>
        <w:rPr>
          <w:rFonts w:ascii="Times New Roman;serif" w:hAnsi="Times New Roman;serif"/>
          <w:b w:val="false"/>
          <w:i/>
          <w:color w:val="000000"/>
          <w:sz w:val="20"/>
        </w:rPr>
        <w:t>Preferred Units &amp; Capital Stock</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18. Stock-Based Compensation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units were not included in the computation of diluted shares outstanding as the effect would have been antidilutive (in thousands):</w:t>
      </w:r>
    </w:p>
    <w:p>
      <w:pPr>
        <w:pStyle w:val="TextBody"/>
        <w:bidi w:val="0"/>
        <w:spacing w:before="0" w:after="0"/>
        <w:jc w:val="both"/>
        <w:rPr/>
      </w:pPr>
      <w:r>
        <w:rPr/>
      </w:r>
    </w:p>
    <w:tbl>
      <w:tblPr>
        <w:tblW w:w="5158" w:type="dxa"/>
        <w:jc w:val="left"/>
        <w:tblInd w:w="0" w:type="dxa"/>
        <w:tblLayout w:type="fixed"/>
        <w:tblCellMar>
          <w:top w:w="28" w:type="dxa"/>
          <w:left w:w="28" w:type="dxa"/>
          <w:bottom w:w="28" w:type="dxa"/>
          <w:right w:w="28" w:type="dxa"/>
        </w:tblCellMar>
      </w:tblPr>
      <w:tblGrid>
        <w:gridCol w:w="754"/>
        <w:gridCol w:w="663"/>
        <w:gridCol w:w="668"/>
        <w:gridCol w:w="332"/>
        <w:gridCol w:w="314"/>
        <w:gridCol w:w="286"/>
        <w:gridCol w:w="286"/>
        <w:gridCol w:w="286"/>
        <w:gridCol w:w="286"/>
        <w:gridCol w:w="448"/>
        <w:gridCol w:w="286"/>
        <w:gridCol w:w="286"/>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Preferred Units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RSAs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RSUs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13,757 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39,842 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of March 31, 2025, the Company had Convertible Notes with a fair value of $259.7 million, which were convertible, at the option of the holder upon maturity, into Series B Units at a price equal to 80% of the lowest original issue price per unit of the Series B Units. The underlying Series B Units were convertible into Common Units on a one-for-one basis. Please refer to </w:t>
      </w:r>
      <w:r>
        <w:rPr>
          <w:rFonts w:ascii="Times New Roman;serif" w:hAnsi="Times New Roman;serif"/>
          <w:b w:val="false"/>
          <w:i/>
          <w:color w:val="000000"/>
          <w:sz w:val="20"/>
        </w:rPr>
        <w:t>Note 14.</w:t>
      </w:r>
      <w:hyperlink w:anchor="i857ae978ea6641bca7d00d2722ecced9_277">
        <w:r>
          <w:rPr>
            <w:rStyle w:val="InternetLink"/>
            <w:rFonts w:ascii="Times New Roman;serif" w:hAnsi="Times New Roman;serif"/>
            <w:b w:val="false"/>
            <w:i/>
            <w:strike w:val="false"/>
            <w:dstrike w:val="false"/>
            <w:color w:val="000000"/>
            <w:sz w:val="20"/>
            <w:u w:val="none"/>
            <w:effect w:val="none"/>
          </w:rPr>
          <w:t xml:space="preserve"> Related Party Loans and Convertible Notes</w:t>
        </w:r>
      </w:hyperlink>
      <w:r>
        <w:rPr>
          <w:color w:val="000000"/>
        </w:rPr>
        <w:t xml:space="preserve"> </w:t>
      </w:r>
      <w:r>
        <w:rPr>
          <w:rFonts w:ascii="Times New Roman;serif" w:hAnsi="Times New Roman;serif"/>
          <w:b w:val="false"/>
          <w:color w:val="000000"/>
          <w:sz w:val="20"/>
        </w:rPr>
        <w:t xml:space="preserve">for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Upon the consummation of the IPO in September 2025, all Convertible Notes were fully converted into shares of Class B common stock and are no longer outstanding.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21. Related Party Transactions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Security Services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entered into a services agreement with Winklevoss Capital Management, LLC (“WCM”), a related party through common ownership, pursuant to which WCM provides executive protection, secure transportation and risk advisory services for our Chief Executive Officer, President, their family members, and, as appropriate, other individuals designated by Gemini from time to time. The agreement has an initial one-year term and renews automatically unless earlier terminated. Under the agreement, the Company pays WCM a fixed monthly rate of $400,000, plus reimbursement of certain other expenses. WCM has agreed to waive any fees, costs, or expenses that exceed $1,000,000 in the aggregate for the first year of this agreement. The Company incurred expenses of $0.4 million under this agreement during the three months ended March 31, 2026. These expenses were classified as General and administrative on the condensed consolidated statements of operations and comprehensive loss. There were no outstanding amounts related to WCM included in Accrued expenses as of March 31, 2026 on the condensed consolidated balance sheets.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Computer services and storage facilities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2017, the Company entered into an agreement with Elysian Networks, LLC (“Elysian”), a related party through common ownership, pursuant to which Elysian provided equipment leasing, cloud-based servers, data storage and computer processing services to the Company. The Company incurred expenses of $0 and $0.2 million under this agreement during the three months ended March 31, 2026 and 2025, respectively. These expenses were classified as Technology on the condensed consolidated statements of operations and comprehensive loss. Amounts outstanding of $0.1 million and $0 were included in Accrued expenses as of March 31, 2026 and December 31, 2025, respectively, on the condensed consolidated balance sheets. The agreement with Elysian was terminated in August 2025, and no further expenses have been incurred or payments made pursuant to the agreement thereafter.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party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WCF, a related party through common ownership, accounted for $0.3 million and $0.6 million of the Company’s revenue during the three months ended March 31, 2026 and 2025, respectively. WCF accounted for $0.2 million and $0.1 million of the Company’s Accounts receivable, net, as of March 31,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party loans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14.</w:t>
      </w:r>
      <w:hyperlink w:anchor="i857ae978ea6641bca7d00d2722ecced9_277">
        <w:r>
          <w:rPr>
            <w:rStyle w:val="InternetLink"/>
            <w:rFonts w:ascii="Times New Roman;serif" w:hAnsi="Times New Roman;serif"/>
            <w:b w:val="false"/>
            <w:i/>
            <w:strike w:val="false"/>
            <w:dstrike w:val="false"/>
            <w:color w:val="000000"/>
            <w:sz w:val="20"/>
            <w:u w:val="none"/>
            <w:effect w:val="none"/>
          </w:rPr>
          <w:t xml:space="preserve"> Related Party Loans and Convertible Notes</w:t>
        </w:r>
      </w:hyperlink>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22. Commitments and Contingencies</w:t>
      </w:r>
    </w:p>
    <w:p>
      <w:pPr>
        <w:pStyle w:val="TextBody"/>
        <w:bidi w:val="0"/>
        <w:spacing w:lineRule="auto" w:line="556"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card receivables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partnership with a credit card issuing bank (the “Issuing Bank”), the Company offers a credit card product to its customers. Under the terms of the program agreement, the Company is required to purchase from the Issuing Bank all credit card receivables originated under the program and offered for sale to the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Credit card receivables purchased under this arrangement are recorded on the Company’s consolidated balance sheets upon transfer. As of March 31, 2026 and December 31, 2025, the Company had purchased credit card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pPr>
      <w:r>
        <w:rPr>
          <w:rFonts w:ascii="Times New Roman;serif" w:hAnsi="Times New Roman;serif"/>
          <w:b w:val="false"/>
          <w:color w:val="000000"/>
          <w:sz w:val="20"/>
        </w:rPr>
        <w:t xml:space="preserve">receivables of $218.1 million and $219.8 million, respectively, from the Issuing Bank. Certain credit card receivables are pledged as collateral under the Company's Ripple Credit Agreement (see </w:t>
      </w:r>
      <w:r>
        <w:rPr>
          <w:rFonts w:ascii="Times New Roman;serif" w:hAnsi="Times New Roman;serif"/>
          <w:b w:val="false"/>
          <w:i/>
          <w:color w:val="000000"/>
          <w:sz w:val="20"/>
        </w:rPr>
        <w:t>Note 16. Funding Debt</w:t>
      </w:r>
      <w:r>
        <w:rPr>
          <w:rFonts w:ascii="Times New Roman;serif" w:hAnsi="Times New Roman;serif"/>
          <w:b w:val="false"/>
          <w:color w:val="000000"/>
          <w:sz w:val="20"/>
        </w:rPr>
        <w:t>). As of March 31, 2026 and December 31, 2025, the carrying value of pledged credit card receivables was $184.0 million and $188.8 million,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agreement creates an ongoing commitment for the Company to purchase future receivables as they are originated. The amount of future purchases will fluctuate based on customer activity, credit card usage, and credit performance. The Company believes it maintains sufficient liquidity to fund these purchases as they become due.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Legal and regulatory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and may in the future be involved in, various litigation matters, legal claims, investigations, and regulatory proceedings arising in the ordinary course of business. In accordance with applicable accounting guidance, the Company accrues for loss contingencies when management determines that it is both probable that losses have been incurred and that the losses can be reasonably estimable. The Company accrued $1.1 million and $1.0 million in estimated loss contingencies as of March 31, 2026 and December 31, 2025, respectively, which are included in Accrued expenses on the consolidated balance sheets.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estimated loss contingencies relate to any unsettled matters in which management has determined that a loss is probable and reasonably estimable. With respect to these matters, management believes losses in excess of amounts accrued, if any, are reasonably possible but cannot be reasonably estimated based on current available information. The Company disputes these claims and intends to defend these matters vigorously.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Litigation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18, 2026, a putative securities class action complaint was filed in the U.S. District Court for the Southern District of New York against the Company, certain of its current and former officers, and its directors. The complaint alleges violations of Sections 11 and 15 of the Securities Act of 1933, as amended, and Sections 10(b) and 20(a) of the Securities Exchange Act of 1934, as amended, based on alleged materially false or misleading statements and omissions in the Company’s registration statement and prospectus issued in connection with its initial public offering, as well as certain subsequent public disclosures. The plaintiff seeks, among other relief, compensatory damages, pre- and post-judgment interest, attorneys’ fees and costs. The Company intends to vigorously defend against the claims. Based on the preliminary stage of the proceeding, the Company is unable to predict the outcome of this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Earn-Related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12, 2023, the SEC charged Gemini Trust Company, LLC (“GTC”), a wholly-owned subsidiary of the Company, for the unregistered offer and sale of securities to retail investors through GTC's facilitation of a program “Earn” that allowed customers to earn interest by lending their crypto assets to a third party partner, Genesis. The SEC’s complaint alleged that the Earn program constituted an offer and sale of securities under applicable law and should have been registered with the SEC. Genesis, which was also named in this complaint, entered into a settlement with the SEC. On January 23, 2026, the SEC and Gemini filed paperwork indicating that the parties agreed to dismiss the case without any monetary settlement from GTC or other relief of any kind. On January 28, 2026, the SEC dismissed its action against GTC and the court ordered the matter closed.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also subject to other matters for which it is unable to reasonably estimate a possible range of loss, if any. While the outcome of these matters is inherently uncertain and adverse decisions or settlements may occur from time to time, the Company does not currently believe that the ultimate resolution of any such matters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have a material adverse effect on its consolidated results of operations, financial position, or liquidity. However, the resolution of one or more of these matters could be material to the Company’s operating results for a particular reporting period, and the Company cannot provide assurance regarding their ultimate outcome.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23.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San Francisco Lease Termination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10, 2026, the Company entered into an amendment to its San Francisco office lease to early terminate the lease. In connection with the termination, the Company agreed to pay a termination fee of approximately $0.6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Prediction Markets Lawsuit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2026, the New York Attorney General filed a petition against Gemini Titan in the Supreme Court of the State of New York alleging that Gemini Titan was operating an unlicensed gambling business and offering unauthorized sports wagering in New York through Gemini Predictions, and seeking injunctive relief, restitution, disgorgement, damages and civil penalties. On April 22, 2026, Gemini Titan removed the case to the U.S. District Court for the Southern District of New York and on May 1, 2026, the New York Attorney General filed a motion to remand the case to state court. The Company intends to vigorously defend against the claims in either venue. Based on the preliminary stage of the proceeding, the Company is unable to predict the outcome of this matter.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Shareholder Derivative 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22, 2026, a shareholder derivative complaint was filed in the Eighth Judicial District Court, Clark County, Nevada, purportedly on behalf of the Company, against certain of the Company’s current and former officers and directors, with the Company named as a nominal defendant. The complaint alleges breach of fiduciary duty, unjust enrichment, waste of corporate assets, gross mismanagement, and abuse of control based on alleged materially false or misleading statements and omissions in the Company’s registration statement and prospectus issued in connection with its initial public offering, as well as certain subsequent public disclosures. The plaintiff seeks, among other relief, compensatory damages, pre- and post-judgment interest, attorneys’ fees and costs, and certain governance changes via injunctive relief. The Company intends to vigorously defend against the claims. Based on the preliminary stage of the proceeding, the Company is unable to predict the outcome of this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DCO License Approval</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30, 2026, the Company received a Derivatives Clearing Organization (“DCO”) license from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CFTC. This license allows the Company to act as a clearinghouse for regulated derivatives trading, including prediction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Securities Purchase Agreement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2026, the Company entered into a securities purchase agreement with Winklevoss Capital Fund, LLC pursuant to which the Company agreed to issue and sell, in a private placement, 7,142,857 shares of the Company’s Class A common stock, at a price of $14.00 per share for aggregate proceeds to the Company of $100.0 million, with consideration paid in Bitcoin. For additional information, refer to our Current Report on Form 8-K, filed with the SEC on May 14,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You should read the following discussion and analysis of our financial condition and results of operations together with our unaudited condensed consolidated financial statements and the related notes appearing elsewhere in this Quarterly Report</w:t>
      </w:r>
      <w:r>
        <w:rPr>
          <w:color w:val="000000"/>
        </w:rPr>
        <w:t xml:space="preserve"> </w:t>
      </w:r>
      <w:r>
        <w:rPr>
          <w:rFonts w:ascii="Times New Roman;serif" w:hAnsi="Times New Roman;serif"/>
          <w:b w:val="false"/>
          <w:i/>
          <w:color w:val="000000"/>
          <w:sz w:val="20"/>
        </w:rPr>
        <w:t>on Form 10-Q and with our audited financial statements and the notes thereto for the year ended December 31, 2025, included in our Annual Report on Form 10-K filed with the Securities and Exchange Commission on March 31, 2026. Some of the information contained in this discussion and analysis or set forth elsewhere in this Quarterly Report on Form 10-Q, including information with respect to our plans and strategy for our business, includes forward-looking statements that involve risks and uncertainties. You should read the sections titled “Risk Factors” and “Cautionary Note Regarding Forward-Looking Statements”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jc w:val="both"/>
        <w:rPr/>
      </w:pPr>
      <w:r>
        <w:rPr/>
      </w:r>
    </w:p>
    <w:p>
      <w:pPr>
        <w:pStyle w:val="TextBody"/>
        <w:bidi w:val="0"/>
        <w:spacing w:lineRule="auto" w:line="288" w:before="0" w:after="0"/>
        <w:ind w:left="0" w:right="0" w:firstLine="44"/>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mission is to build the bridge to the future of money and markets. Gemini is a trusted cryptocurrency platform building secure financial infrastructure for the next generation of money and markets, providing access for individuals and institutions to a financial future that is more open, fair, and secure.</w:t>
      </w:r>
    </w:p>
    <w:p>
      <w:pPr>
        <w:pStyle w:val="TextBody"/>
        <w:bidi w:val="0"/>
        <w:spacing w:before="0" w:after="0"/>
        <w:ind w:left="0" w:right="0" w:firstLine="3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Gemini was founded in 2014 to be the most trusted, secure, and easy way to buy, sell, and store crypto assets. As of March 31, 2026, we served approximately 589,000 MTUs with over $11.1 billion of assets on our platform.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core exchange product has expanded over time to become a more comprehensive platform that enables users to engage with the cryptoeconomy and markets across a broad range of products and services. Our products and services include a derivatives exchange, staking services, spot margin trading services, an OTC trading desk, institutional-grade custody, a New York Department of Financial Services (“NYDFS”)-regulated stablecoin, a U.S.-based credit card program, and a prediction markets platform. We are building Gemini as an integrated platform with shared infrastructure for both money and markets and we intend to serve our users through a unified, multi-product experience.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December 2025, we launched Gemini Predictions, a regulated prediction markets platform operated by our DCM affiliate and wholly-owned subsidiary, Gemini Titan, LLC (“Gemini Titan”), allowing eligible customers to trade binary event contracts on the outcomes of specified future events. This product expands our suite of trading offerings and leverages our regulatory approval from the CFTC to provide event-based derivatives alongside our existing crypto trading services. In February 2026, we announced plans to exit and wind down operations in certain international markets, including the United Kingdom, the European Union and other European jurisdictions, and Australia (the “Restructuring”). See </w:t>
      </w:r>
      <w:r>
        <w:rPr>
          <w:rFonts w:ascii="Times New Roman;serif" w:hAnsi="Times New Roman;serif"/>
          <w:b w:val="false"/>
          <w:i/>
          <w:color w:val="000000"/>
          <w:sz w:val="20"/>
        </w:rPr>
        <w:t xml:space="preserve">Note 4. Restructuring Activities </w:t>
      </w:r>
      <w:r>
        <w:rPr>
          <w:rFonts w:ascii="Times New Roman;serif" w:hAnsi="Times New Roman;serif"/>
          <w:b w:val="false"/>
          <w:color w:val="000000"/>
          <w:sz w:val="20"/>
        </w:rPr>
        <w:t xml:space="preserve">to our unaudited condensed consolidated financial statements included elsewhere in this Quarterly Report on Form 10-Q. </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strive to deliver a seamless user experience to both retail and institutional users:</w:t>
      </w:r>
    </w:p>
    <w:p>
      <w:pPr>
        <w:pStyle w:val="TextBody"/>
        <w:bidi w:val="0"/>
        <w:spacing w:before="0" w:after="0"/>
        <w:ind w:left="0" w:right="0" w:firstLine="504"/>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Retail</w:t>
      </w:r>
      <w:r>
        <w:rPr>
          <w:rFonts w:ascii="Times New Roman;serif" w:hAnsi="Times New Roman;serif"/>
          <w:b w:val="false"/>
          <w:color w:val="000000"/>
          <w:sz w:val="20"/>
        </w:rPr>
        <w:t>: We often serve as a primary gateway for individual retail users into the cryptoeconomy. We provide a user-friendly, secure platform and mobile app for users to buy, sell, store, stake, and transfer a variety of crypto assets. Our products aim to suit the needs of beginners and sophisticated users alike.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Institutional: </w:t>
      </w:r>
      <w:r>
        <w:rPr>
          <w:rFonts w:ascii="Times New Roman;serif" w:hAnsi="Times New Roman;serif"/>
          <w:b w:val="false"/>
          <w:color w:val="000000"/>
          <w:sz w:val="20"/>
        </w:rPr>
        <w:t>We provide institutional investors, including asset managers, hedge funds, proprietary trading firms, and corporations with a robust and secure platform to access crypto markets. We offer advanced trading, OTC trading, and institutional-grade custody.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customer assets are held in full on our platform, ensuring every unit of cryptocurrency or fiat held by a user is available to the user. We hold MTLs or the statutory equivalent in all states that require such licenses so that we are able to operate in all 50 states and have direct access to fiat banking rails. </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we generated total revenue of $50.3 million and $35.3 million, respectively, net income (loss) of $(109.0) million and $(149.3) million, respectively, and Adjusted EBITDA of $(59.9) million and $(61.6) million, respectively. </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monetize the products and services offerings on our platform primarily through fee-based revenue. Fee revenues are predominantly transaction-related fees on trade volume for our exchange and OTC platforms. In addition, we also earn revenue from custody services, withdrawal fees, credit card fees and advisory fees. A substantial portion of our total revenue is generated from transaction fees earned on volume-based trades across retail and institutional users on our exchange. For the three months ended March 31, 2026 and 2025, exchange revenue represented 34.2% and 66.6% of our total revenue, respectively. Retail investors accounted for approximately 87% and 96% of exchange revenue for the three months ended March 31, 2026 and 2025, respectively. Interest income is derived from USD-denominated assets we hold on our balance sheet that back our GUSD stablecoin.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unaudited condensed consolidated financial statements, we use the key business metrics listed below to evaluate our business, measure our performance, identify trends affecting our business, and make strategic decisions:</w:t>
      </w:r>
    </w:p>
    <w:tbl>
      <w:tblPr>
        <w:tblW w:w="10205" w:type="dxa"/>
        <w:jc w:val="left"/>
        <w:tblInd w:w="0" w:type="dxa"/>
        <w:tblLayout w:type="fixed"/>
        <w:tblCellMar>
          <w:top w:w="28" w:type="dxa"/>
          <w:left w:w="28" w:type="dxa"/>
          <w:bottom w:w="28" w:type="dxa"/>
          <w:right w:w="28" w:type="dxa"/>
        </w:tblCellMar>
      </w:tblPr>
      <w:tblGrid>
        <w:gridCol w:w="2117"/>
        <w:gridCol w:w="1863"/>
        <w:gridCol w:w="1876"/>
        <w:gridCol w:w="238"/>
        <w:gridCol w:w="238"/>
        <w:gridCol w:w="410"/>
        <w:gridCol w:w="160"/>
        <w:gridCol w:w="289"/>
        <w:gridCol w:w="1170"/>
        <w:gridCol w:w="160"/>
        <w:gridCol w:w="109"/>
        <w:gridCol w:w="109"/>
        <w:gridCol w:w="109"/>
        <w:gridCol w:w="196"/>
        <w:gridCol w:w="781"/>
        <w:gridCol w:w="109"/>
        <w:gridCol w:w="109"/>
        <w:gridCol w:w="162"/>
      </w:tblGrid>
      <w:tr>
        <w:trPr/>
        <w:tc>
          <w:tcPr>
            <w:tcW w:w="2117"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5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684" w:type="dxa"/>
            <w:gridSpan w:val="8"/>
            <w:tcBorders/>
          </w:tcPr>
          <w:p>
            <w:pPr>
              <w:pStyle w:val="TableContents"/>
              <w:bidi w:val="0"/>
              <w:spacing w:before="0" w:after="283"/>
              <w:jc w:val="left"/>
              <w:rPr>
                <w:sz w:val="4"/>
                <w:szCs w:val="4"/>
              </w:rPr>
            </w:pPr>
            <w:r>
              <w:rPr>
                <w:sz w:val="4"/>
                <w:szCs w:val="4"/>
              </w:rPr>
            </w:r>
          </w:p>
        </w:tc>
      </w:tr>
      <w:tr>
        <w:trPr/>
        <w:tc>
          <w:tcPr>
            <w:tcW w:w="585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5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Monthly Transacting Users</w:t>
            </w:r>
            <w:r>
              <w:rPr>
                <w:color w:val="000000"/>
              </w:rPr>
              <w:t xml:space="preserve"> </w:t>
            </w:r>
            <w:r>
              <w:rPr>
                <w:rFonts w:ascii="Times New Roman;serif" w:hAnsi="Times New Roman;serif"/>
                <w:b w:val="false"/>
                <w:i/>
                <w:color w:val="000000"/>
                <w:sz w:val="18"/>
              </w:rPr>
              <w:t>(in thousands)</w:t>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Lifetime Transacting Users </w:t>
            </w:r>
            <w:r>
              <w:rPr>
                <w:rFonts w:ascii="Times New Roman;serif" w:hAnsi="Times New Roman;serif"/>
                <w:b w:val="false"/>
                <w:i/>
                <w:color w:val="000000"/>
                <w:sz w:val="18"/>
              </w:rPr>
              <w:t>(in thousands)</w:t>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Card Sign-Ups </w:t>
            </w:r>
            <w:r>
              <w:rPr>
                <w:rFonts w:ascii="Times New Roman;serif" w:hAnsi="Times New Roman;serif"/>
                <w:b w:val="false"/>
                <w:i/>
                <w:color w:val="000000"/>
                <w:sz w:val="18"/>
              </w:rPr>
              <w:t>(in thousands)</w:t>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Trading Volume </w:t>
            </w:r>
            <w:r>
              <w:rPr>
                <w:rFonts w:ascii="Times New Roman;serif" w:hAnsi="Times New Roman;serif"/>
                <w:b w:val="false"/>
                <w:i/>
                <w:color w:val="000000"/>
                <w:sz w:val="18"/>
              </w:rPr>
              <w:t>(in billions)</w:t>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Assets on Platform </w:t>
            </w:r>
            <w:r>
              <w:rPr>
                <w:rFonts w:ascii="Times New Roman;serif" w:hAnsi="Times New Roman;serif"/>
                <w:b w:val="false"/>
                <w:i/>
                <w:color w:val="000000"/>
                <w:sz w:val="18"/>
              </w:rPr>
              <w:t>(in billions)</w:t>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Income (Loss) </w:t>
            </w:r>
            <w:r>
              <w:rPr>
                <w:rFonts w:ascii="Times New Roman;serif" w:hAnsi="Times New Roman;serif"/>
                <w:b w:val="false"/>
                <w:i/>
                <w:color w:val="000000"/>
                <w:sz w:val="18"/>
              </w:rPr>
              <w:t>(in thousands)</w:t>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w:t>
            </w:r>
            <w:r>
              <w:rPr>
                <w:rFonts w:ascii="Times New Roman;serif" w:hAnsi="Times New Roman;serif"/>
                <w:b w:val="false"/>
                <w:i/>
                <w:color w:val="000000"/>
                <w:sz w:val="18"/>
              </w:rPr>
              <w:t>(in thousands)</w:t>
            </w:r>
            <w:r>
              <w:rPr>
                <w:rFonts w:ascii="Times New Roman;serif" w:hAnsi="Times New Roman;serif"/>
                <w:b w:val="false"/>
                <w:color w:val="000000"/>
                <w:sz w:val="12"/>
              </w:rPr>
              <w:t>(1)</w:t>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See the section below titled “Adjusted EBITDA” for a reconciliation of net income (loss) to Adjusted EBITDA and an explanation for why we consider Adjusted EBITDA to be a helpful metric for investors.</w:t>
            </w:r>
          </w:p>
        </w:tc>
        <w:tc>
          <w:tcPr>
            <w:tcW w:w="3463"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Monthly Transacting Users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an MTU as any retail or institutional user who has engaged in any revenue-generating activity or whose account otherwise generated revenue for the Company in the trailing thirty days, including transacting on our spot or derivatives exchange or on Gemini Predictions, holding a digital asset or fiat balance in a Gemini exchange account that generates revenue for the Company, holding a digital asset balance in a Gemini Custody account, holding a balance in our pooled Staking product, making a transaction or holding a balance on the Gemini Credit Card, or completing a fiat (wire) or digital asset withdrawal from our platform. MTUs also engage in transactions that are non-revenue generating, such as consumers sending and receiving crypto assets between wallets.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view MTUs as an indicator of platform engagement and overall business health, and MTUs also serve as a top-of-funnel metric in our internal financial forecasting processes. MTUs directly correlate with other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performance indicators, such as Trading Volume, and revenue, particularly because transaction-based fees represent the majority of our revenue. For example, for the three months ended March 31, 2026, approximately 48.0% of our revenue was derived from transaction fees. As MTUs increase, we generally experience increased transaction activity, which leads to increased fee-based revenue. In turn, this generally supports a higher gross margin and contributes to increases in net income. We also use MTUs to help evaluate the performance of our growth initiatives, including our efforts to acquire new retail and institutional users and broaden the number and type of crypto assets supported on our platform.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MTUs may overstate the number of unique users due to differences in product architecture or user behavior. For instance, regarding product architecture, our platform includes distinct products that utilize separate account structures and store user data in separate databases. While we seek to identify overlapping users across these products by cross-referencing shared information (e.g., email addresses), a single user who registered on, for example, both the exchange and Nifty Gateway using different credentials could have been counted as two MTUs. Relatedly, regarding user behavior, our metrics may result in overstatement where a user intentionally or inadvertently maintains multiple accounts using different email addresses, phone numbers, or usernames. While we actively monitor for duplicate, fraudulent, or spam accounts and exclude those from our key metrics, we may not fully eliminate all duplication among legitimate users. See “</w:t>
      </w:r>
      <w:r>
        <w:rPr>
          <w:rFonts w:ascii="Times New Roman;serif" w:hAnsi="Times New Roman;serif"/>
          <w:b w:val="false"/>
          <w:i/>
          <w:color w:val="000000"/>
          <w:sz w:val="20"/>
        </w:rPr>
        <w:t>Risk Factors—General Risk Factors—Key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color w:val="00000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Overall, we believe MTUs provide a measure of the breadth of active user engagement with our products, and we use this metric, among others, to evaluate the effectiveness of our user acquisition, product expansion, and engagement strategies.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MTUs presented for a quarter represent the MTUs as of the last day of the respective quarter.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Lifetime Transacting Users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LTUs represent the cumulative number of unique MTUs who have ever transacted on our platform and continue to maintain an open account, measured since inception.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LTUs provide a long-term measure of the breadth of our customer base and reflect the aggregate adoption of our platform over time. While MTUs capture monthly activity, LTUs illustrate the durability of customer relationships, since users who maintain open accounts—even if inactive in a given period—remain part of our ecosystem and are candidates for reactivation. We use LTUs to evaluate the effectiveness of our acquisition strategies and to assess the long-term potential for engagement and monetization.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LTUs, like MTUs, may be subject to overstatement due to duplicate accounts or product architecture. For example, a user who maintains separate accounts across Gemini products, or who re-registers with different credentials, may be counted more than once. While we actively monitor for and remove duplicate, fraudulent, or spam accounts, our reported LTUs may not fully eliminate all duplication. See “</w:t>
      </w:r>
      <w:r>
        <w:rPr>
          <w:rFonts w:ascii="Times New Roman;serif" w:hAnsi="Times New Roman;serif"/>
          <w:b w:val="false"/>
          <w:i/>
          <w:color w:val="000000"/>
          <w:sz w:val="20"/>
        </w:rPr>
        <w:t>Risk Factors—General Risk Factors—Key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color w:val="00000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Card Sign-Ups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Card Sign-Ups as the cumulative number of approved applications for the Gemini Credit Card in the relevant period. Card Sign-Ups include customers who have been approved to open an account, regardless of whether they have subsequently activated or used their card or whether the account later remains open.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Card Sign-Ups represent the breadth of adoption of the Gemini Credit Card and reflect the effectiveness of our acquisition efforts. We view Card Sign-Ups as an indicator of potential future card revenue, including interchange revenue, receivables, and crypto rewards engagement. While not all approved applicants activate or use their cards, higher levels of Card Sign-Ups expand the addressable base of Open Card Accounts. We define Open Card Accounts as the cumulative number of Gemini Credit Card accounts with an open credit line as of the end of the applicable period. Open Card Accounts is intended to capture the number of card accounts that remain open and helps reflect the impact of subsequent account closures, including customer-requested closures and closures by Gemini for suspected or confirmed fraud, failure to satisfy card program eligibility requirements, or other risk-management, compliance, or administrative reasons.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Card Sign-Ups do not directly measure cardholder activity, as not all approved applicants activate or use their cards. In addition, because Card Sign-Ups include approved accounts regardless of subsequent account status, Card Sign-Ups may be subject to overstatement. Accordingly, growth in Card Sign-Ups should be evaluated together with Open Card Accounts, transaction volume, and related receivables to provide a comprehensive view of card program performance. See “</w:t>
      </w:r>
      <w:r>
        <w:rPr>
          <w:rFonts w:ascii="Times New Roman;serif" w:hAnsi="Times New Roman;serif"/>
          <w:b w:val="false"/>
          <w:i/>
          <w:color w:val="000000"/>
          <w:sz w:val="20"/>
        </w:rPr>
        <w:t>Risk Factors—General Risk Factors—Key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color w:val="00000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Trading Volume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Trading Volume as the total U.S. dollar equivalent value of spot matched trades transacted between a buyer and seller through our platform during the period of measurement. Trading Volume represents the product of the quantity of assets transacted and the trade price at the time the transaction was executed. As trading activity directly impacts transaction revenue, we believe this measure is a reflection of liquidity of our order book and the underlying growth of the cryptoeconomy.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Trading Volume on our platform is primarily influenced by the price of crypto assets, crypto asset volatility, and macroeconomic conditions. In periods of high crypto asset prices and crypto asset volatility, we have experienced correspondingly high levels of Trading Volume on our platform. We expect that our Trading Volume in future periods will depend on the relative availability and adoption of bitcoin, ether, XRP, and other crypto assets.</w:t>
      </w:r>
    </w:p>
    <w:p>
      <w:pPr>
        <w:pStyle w:val="TextBody"/>
        <w:bidi w:val="0"/>
        <w:spacing w:before="0" w:after="0"/>
        <w:ind w:left="0" w:right="0" w:firstLine="504"/>
        <w:jc w:val="both"/>
        <w:rPr/>
      </w:pPr>
      <w:r>
        <w:rPr/>
      </w:r>
    </w:p>
    <w:tbl>
      <w:tblPr>
        <w:tblW w:w="7635" w:type="dxa"/>
        <w:jc w:val="left"/>
        <w:tblInd w:w="0" w:type="dxa"/>
        <w:tblLayout w:type="fixed"/>
        <w:tblCellMar>
          <w:top w:w="28" w:type="dxa"/>
          <w:left w:w="28" w:type="dxa"/>
          <w:bottom w:w="28" w:type="dxa"/>
          <w:right w:w="28" w:type="dxa"/>
        </w:tblCellMar>
      </w:tblPr>
      <w:tblGrid>
        <w:gridCol w:w="1260"/>
        <w:gridCol w:w="1105"/>
        <w:gridCol w:w="1114"/>
        <w:gridCol w:w="109"/>
        <w:gridCol w:w="109"/>
        <w:gridCol w:w="312"/>
        <w:gridCol w:w="312"/>
        <w:gridCol w:w="562"/>
        <w:gridCol w:w="1079"/>
        <w:gridCol w:w="312"/>
        <w:gridCol w:w="109"/>
        <w:gridCol w:w="109"/>
        <w:gridCol w:w="109"/>
        <w:gridCol w:w="196"/>
        <w:gridCol w:w="466"/>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361" w:type="dxa"/>
            <w:gridSpan w:val="8"/>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i/>
                <w:color w:val="000000"/>
                <w:sz w:val="18"/>
              </w:rPr>
            </w:pPr>
            <w:r>
              <w:rPr>
                <w:rFonts w:ascii="Times New Roman;serif" w:hAnsi="Times New Roman;serif"/>
                <w:b/>
                <w:i/>
                <w:color w:val="000000"/>
                <w:sz w:val="18"/>
              </w:rPr>
              <w:t>Trading Volume (in billions):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11"/>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11"/>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11"/>
              <w:jc w:val="left"/>
              <w:rPr>
                <w:sz w:val="4"/>
                <w:szCs w:val="4"/>
              </w:rPr>
            </w:pPr>
            <w:r>
              <w:rPr>
                <w:sz w:val="4"/>
                <w:szCs w:val="4"/>
              </w:rPr>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i/>
                <w:color w:val="000000"/>
                <w:sz w:val="18"/>
              </w:rPr>
            </w:pPr>
            <w:r>
              <w:rPr>
                <w:rFonts w:ascii="Times New Roman;serif" w:hAnsi="Times New Roman;serif"/>
                <w:b/>
                <w:i/>
                <w:color w:val="000000"/>
                <w:sz w:val="18"/>
              </w:rPr>
              <w:t>Trading Volume by Crypto Asset (in billions):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11"/>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11"/>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XRP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11"/>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bottom w:val="single" w:sz="8" w:space="0" w:color="FFFFFF"/>
            </w:tcBorders>
            <w:shd w:fill="CCEEFF" w:val="clear"/>
            <w:tcMar>
              <w:top w:w="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11"/>
              <w:jc w:val="left"/>
              <w:rPr>
                <w:sz w:val="4"/>
                <w:szCs w:val="4"/>
              </w:rPr>
            </w:pPr>
            <w:r>
              <w:rPr>
                <w:sz w:val="4"/>
                <w:szCs w:val="4"/>
              </w:rPr>
            </w:r>
          </w:p>
        </w:tc>
        <w:tc>
          <w:tcPr>
            <w:tcW w:w="195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tbl>
      <w:tblPr>
        <w:tblW w:w="6213" w:type="dxa"/>
        <w:jc w:val="left"/>
        <w:tblInd w:w="0" w:type="dxa"/>
        <w:tblLayout w:type="fixed"/>
        <w:tblCellMar>
          <w:top w:w="28" w:type="dxa"/>
          <w:left w:w="28" w:type="dxa"/>
          <w:bottom w:w="28" w:type="dxa"/>
          <w:right w:w="28" w:type="dxa"/>
        </w:tblCellMar>
      </w:tblPr>
      <w:tblGrid>
        <w:gridCol w:w="1351"/>
        <w:gridCol w:w="1188"/>
        <w:gridCol w:w="1196"/>
        <w:gridCol w:w="109"/>
        <w:gridCol w:w="109"/>
        <w:gridCol w:w="109"/>
        <w:gridCol w:w="109"/>
        <w:gridCol w:w="196"/>
        <w:gridCol w:w="376"/>
        <w:gridCol w:w="109"/>
        <w:gridCol w:w="109"/>
        <w:gridCol w:w="109"/>
        <w:gridCol w:w="109"/>
        <w:gridCol w:w="196"/>
        <w:gridCol w:w="466"/>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i/>
                <w:color w:val="000000"/>
                <w:sz w:val="18"/>
              </w:rPr>
            </w:pPr>
            <w:r>
              <w:rPr>
                <w:rFonts w:ascii="Times New Roman;serif" w:hAnsi="Times New Roman;serif"/>
                <w:b/>
                <w:i/>
                <w:color w:val="000000"/>
                <w:sz w:val="18"/>
              </w:rPr>
              <w:t>Exchange Revenue by Crypto Asset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1"/>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1"/>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XRP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1"/>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1"/>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no asset other than bitcoin and ether individually represented more than 10% of our Trading Volume. During the three months ended March 31, 2026, no asset other than bitcoin and ether individually represented more than 10% of our exchange revenue. During the three months ended March 31, 2025, no asset other than bitcoin, ether and XRP individually represented more than 10% of our exchange revenue.</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Assets on Platform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Assets on Platform represents the total value of assets held on our platform and includes digital assets in custody, staking, and exchange products, user custodial fiat, and GUSD reserve assets. We view Assets on Platform as evidence of the trust that users place in our platform. The total value of Assets on Platform is influenced by various factors, including interest rates, asset prices, and the quantity and type of digital assets that users store or trade. We monetize Assets on Platform by offering custody, staking, and exchange products that generate fees based on user activity. We generally expect any growth of Assets on Platform to correlate with engagement with our products, driving transaction and services revenue for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Fluctuations in crypto asset prices and changes in the quantity or types of assets held can cause Assets on Platform to rise or fall over a given period. For instance, the total quantity of assets (in crypto units or fiat) may increase in a period, but Assets on Platform could decrease if the price of one or more crypto assets drops in that period. Conversely, Assets on Platform may grow even if the quantity of assets decreases in a period, provided rising crypto prices offset that decline. Because Assets on Platform depends on multiple market-driven variables, it naturally fluctuates over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derived a material portion of our Assets on Platform from the storage of bitcoin and ether. As of March 31, 2026, bitcoin, ether, and other crypto assets represented 63.1%, 18.9%, and 13.5% of Assets on Platform, respectively, and customer custodial fiat assets represented 4.5% of Assets on Platform. As of March 31, 2025, bitcoin, ether, and other crypto assets represented 74.6%, 12.7%, and 9.2% of Assets on Platform, respectively, and customer custodial fiat assets represented 3.5% of Assets on Platform. </w:t>
      </w:r>
    </w:p>
    <w:p>
      <w:pPr>
        <w:pStyle w:val="TextBody"/>
        <w:bidi w:val="0"/>
        <w:spacing w:before="0" w:after="0"/>
        <w:jc w:val="both"/>
        <w:rPr/>
      </w:pPr>
      <w:r>
        <w:rPr/>
      </w:r>
    </w:p>
    <w:tbl>
      <w:tblPr>
        <w:tblW w:w="4606" w:type="dxa"/>
        <w:jc w:val="left"/>
        <w:tblInd w:w="0" w:type="dxa"/>
        <w:tblLayout w:type="fixed"/>
        <w:tblCellMar>
          <w:top w:w="28" w:type="dxa"/>
          <w:left w:w="28" w:type="dxa"/>
          <w:bottom w:w="28" w:type="dxa"/>
          <w:right w:w="28" w:type="dxa"/>
        </w:tblCellMar>
      </w:tblPr>
      <w:tblGrid>
        <w:gridCol w:w="895"/>
        <w:gridCol w:w="788"/>
        <w:gridCol w:w="791"/>
        <w:gridCol w:w="196"/>
        <w:gridCol w:w="466"/>
        <w:gridCol w:w="109"/>
        <w:gridCol w:w="109"/>
        <w:gridCol w:w="109"/>
        <w:gridCol w:w="109"/>
        <w:gridCol w:w="196"/>
        <w:gridCol w:w="466"/>
        <w:gridCol w:w="109"/>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i/>
                <w:color w:val="000000"/>
                <w:sz w:val="18"/>
              </w:rPr>
            </w:pPr>
            <w:r>
              <w:rPr>
                <w:rFonts w:ascii="Times New Roman;serif" w:hAnsi="Times New Roman;serif"/>
                <w:b/>
                <w:i/>
                <w:color w:val="000000"/>
                <w:sz w:val="18"/>
              </w:rPr>
              <w:t>Assets on Platform (in billions):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Customer custodial fiat assets</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(loss), adjusted to exclude provision for (benefit from) income taxes, interest expense, depreciation and amortization, stock-based compensation expense, impairment,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charges, non-recurring legal contingencies, settlement and related costs, change in fair value on related party convertible notes, change in fair value on related party loans, gain on conversion of convertible notes and term loans, and unrealized foreign exchange loss (gain).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believes that Adjusted EBITDA, which is a measure not presented in accordance with GAAP, provides investors with additional useful information in evaluating our performance. We use this non-GAAP measure internally to evaluate performance and to make financial, investment and operational decisions. We believe that presentation of this non-GAAP measure provides investors with greater transparency with respect to our operating results and that this measure is useful for period-to-period comparisons of results. Management also believes that providing this non-GAAP measure helps investors evaluate the Company’s operating performance, profitability and business trends in a way that is consistent with how management evaluates such matters. Among other non-cash and non-recurring items, Adjusted EBITDA excludes stock-based compensation expense, which has recently been, and will continue to be for the foreseeable future, a significant recurring expense for our business and an important part of our compensation strategy. In addition, on February 5, 2026, the Company announced its plans to wind down operations in the United Kingdom, European Union, other European jurisdictions, and Australia. As such, beginning with this quarter, Adjusted EBITDA also excludes related restructuring charges, which primarily relate to workforce reductions, lease exit costs, and other actions taken to streamline our operations and that we believe are unusual in nature and/or infrequent in occurrence and are not indicative of our ongoing 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companies, including companies in our industry, may calculate similarly titled non-GAAP measures differently or may use other non-GAAP measures to evaluate their performance, all of which could reduce the usefulness of our non-GAAP financial measures as a tool for comparison. A reconciliation of Adjusted EBITDA is provided below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 Adjusted EBITDA is presented for supplemental informational purposes only, has limitations as an analytical tool, and should not be considered in isolation or as a substitute for financial information presented in accordance with GAAP.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 reconciliation of net income (loss) to Adjusted EBITDA for the three months ended March 31, 2026 and 2025:</w:t>
      </w:r>
    </w:p>
    <w:p>
      <w:pPr>
        <w:pStyle w:val="TextBody"/>
        <w:bidi w:val="0"/>
        <w:spacing w:before="0" w:after="0"/>
        <w:ind w:left="0" w:right="0" w:firstLine="504"/>
        <w:jc w:val="both"/>
        <w:rPr/>
      </w:pPr>
      <w:r>
        <w:rPr/>
      </w:r>
    </w:p>
    <w:tbl>
      <w:tblPr>
        <w:tblW w:w="9152" w:type="dxa"/>
        <w:jc w:val="left"/>
        <w:tblInd w:w="0" w:type="dxa"/>
        <w:tblLayout w:type="fixed"/>
        <w:tblCellMar>
          <w:top w:w="28" w:type="dxa"/>
          <w:left w:w="28" w:type="dxa"/>
          <w:bottom w:w="28" w:type="dxa"/>
          <w:right w:w="28" w:type="dxa"/>
        </w:tblCellMar>
      </w:tblPr>
      <w:tblGrid>
        <w:gridCol w:w="1681"/>
        <w:gridCol w:w="1480"/>
        <w:gridCol w:w="1489"/>
        <w:gridCol w:w="109"/>
        <w:gridCol w:w="109"/>
        <w:gridCol w:w="210"/>
        <w:gridCol w:w="210"/>
        <w:gridCol w:w="379"/>
        <w:gridCol w:w="1569"/>
        <w:gridCol w:w="210"/>
        <w:gridCol w:w="109"/>
        <w:gridCol w:w="109"/>
        <w:gridCol w:w="109"/>
        <w:gridCol w:w="196"/>
        <w:gridCol w:w="811"/>
        <w:gridCol w:w="109"/>
        <w:gridCol w:w="109"/>
        <w:gridCol w:w="154"/>
      </w:tblGrid>
      <w:tr>
        <w:trPr/>
        <w:tc>
          <w:tcPr>
            <w:tcW w:w="168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706" w:type="dxa"/>
            <w:gridSpan w:val="8"/>
            <w:tcBorders/>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(108,978)</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24,178 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Non-recurring legal contingencies, settlements,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(59,925)</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8"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(1) Includes impairment charges in connection with the Restructuring of $1.3 million. </w:t>
            </w:r>
          </w:p>
        </w:tc>
        <w:tc>
          <w:tcPr>
            <w:tcW w:w="4074" w:type="dxa"/>
            <w:gridSpan w:val="12"/>
            <w:tcBorders/>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4502"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key factors affecting our results of operations and financial performance are as follows: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Market Cycles and Crypto Asset Prices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revenue represents the majority of our revenue today, and depends on the volume of crypto asset transactions on our platform as well as the value of such transactions. Periods of rising crypto asset prices may stimulate heightened transaction activity and user onboarding on our platform, while decreasing crypto asset prices may reduce such activities in any given period. As a result, the supply and demand for crypto assets and cyclicality in the crypto market may favorably or unfavorably impact our MTUs and revenue.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earn custodial fee revenue based on a percentage of the daily value of assets under our custody, and staking revenue denominated in crypto assets, each of which are subject to fluctuation based on price volatility of crypto assets and market conditions.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Adoption of Crypto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growth and operating results are dependent on our continued ability to add users, expand the breadth of crypto assets on our platform, and launch innovative products, each of which are dependent on the continued adoption of crypto assets by market participants. Historically, the increase in total market capitalization of crypto assets has been positively correlated with crypto asset adoption. While we believe the total market capitalization of crypto assets will increase over time, creating opportunities for us to increase our user base, product offerings and transactional activity on our platform, historical trends are not indicative of future adoption, and it is possible that the adoption of crypto assets and blockchain technology may slow or never occur on a broad scale, which would negatively impact our business and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User Acquisition and Retention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growth is dependent on our ability to continue to attract and retain users. We seek to retain and grow our user base through offering competitive transaction fees, seamless user experience, robust security, diverse asset and product offerings, and marketing campaigns. We also focus on increasing users and engagement across our platform by cross-selling additional products and services we provide, such as prediction markets, staking or the Gemini Credit Card. We expect to continue investing in sales and marketing initiatives to support user acquisition and engagement, however the level and mix of such investments may vary over time based on market conditions, strategic priorities, and the effectiveness of our marketing strategies. As a result, our sales and marketing expenses may increase in absolute dollars in certain periods. In any period, our revenues may fluctuate based on the level of marketing investments and our ability to attract and retain users.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Launching Innovative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continue emphasizing product innovation as a key driver of user engagement. We are executing on a comprehensive product roadmap that anticipates evolving user needs while capitalizing on emerging opportunities in the cryptoeconomy. Central to this initiative is the development of enhanced user engagement tools, particularly our secure wallet solution, which serves as a gateway for users to safely access and participate in the growing onchain ecosystem. We believe that continued investment in product innovation will be central to expanding our user base and future revenue. Implementing new products may increase our costs over the short and medium term as these products reach scale and are adopted by new and existing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Competitive Landscape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results depend on our ability to manage competitive pressures in a rapidly evolving crypto industry. We expect competition across our products and services to further intensify in the future as existing and new competitors introduce new products and services or enhance their value propositions for customers. As the industry matures, fee pressures may emerge over time. We intend to continue innovating to drive new products and services while delivering a premier user experience and maintaining our position as a trusted brand in the crypto space to offset the effects of these competitive pressures. If we are unable to capture value through our strategies, or if these competitive pressures emerge more rapidly than we anticipate, our operating results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Regulatory Environment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oversight by numerous regulatory agencies in the United States and other jurisdictions, and our operating results and continued growth depend in part on our ability to continue to operate in compliance with applicable laws and regulation, as the regulatory environment develops over time. We maintain dedicated finance, legal, compliance, and security functions and continue to allocate resources in order to remain at the forefront of crypto policy initiatives and regulatory trends. We may experience fluctuations in our operating results as a result of regulatory changes or actions that could limit our ability to support new blockchains and crypto assets, onboard users, and offer our products and services across jurisdictions.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Expanding Assets and Markets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growth depends in part on our ability to expand the breadth of crypto assets and markets available on our platform. We are actively enhancing our token offerings for both trading and custody services and supporting emerging blockchain protocol features, such as expanding staking capabilities to provide additional yield opportunities for our users. The December 2025 launch of Gemini Predictions™ marked our expansion beyond crypto into event contracts, and we continue to evaluate opportunities to offer additional markets, including equities, tokenized securities, and other derivatives, subject to regulatory approval and market demand. We expect to continue to incur costs in expanding supported assets and markets with the objective of diversifying our revenue streams, capturing increased trading volume and transaction revenue, and deepening user engagement.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Strategic Acquisitions, Investments, and Partnerships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growth depends in part on our ability to successfully identify acquisition, investment, and partnership opportunities. We have in the past made acquisitions to bring new capabilities to our platform and will continue to explore new acquisition opportunities that we believe are complementary to our platform. Through our strategic venture arm, Gemini Frontier Fund, we expect to continue to evaluate investment opportunities in early-stage crypto projects and startups. We will also continue to explore and enter into strategic partnerships with various companies to scale our business, including, but not limited to, partnerships to increase traffic to our platform and banking and payment processor partnerships, such as our existing partnership with Mastercard. Over the long term, we expect these partnerships will drive an increase in our MTUs and diversify our revenue streams. Any such acquisition, investment or partnership opportunities may add additional costs during the evaluation or transitional phase before any benefits are fully captured or may otherwise affect our operating results in a given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Condensed Consolidated Statements of Operations data in dollars and as a percentage of total revenue: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tbl>
      <w:tblPr>
        <w:tblW w:w="10205" w:type="dxa"/>
        <w:jc w:val="left"/>
        <w:tblInd w:w="0" w:type="dxa"/>
        <w:tblLayout w:type="fixed"/>
        <w:tblCellMar>
          <w:top w:w="28" w:type="dxa"/>
          <w:left w:w="28" w:type="dxa"/>
          <w:bottom w:w="28" w:type="dxa"/>
          <w:right w:w="28" w:type="dxa"/>
        </w:tblCellMar>
      </w:tblPr>
      <w:tblGrid>
        <w:gridCol w:w="1584"/>
        <w:gridCol w:w="1321"/>
        <w:gridCol w:w="1303"/>
        <w:gridCol w:w="109"/>
        <w:gridCol w:w="109"/>
        <w:gridCol w:w="109"/>
        <w:gridCol w:w="109"/>
        <w:gridCol w:w="196"/>
        <w:gridCol w:w="789"/>
        <w:gridCol w:w="109"/>
        <w:gridCol w:w="109"/>
        <w:gridCol w:w="109"/>
        <w:gridCol w:w="109"/>
        <w:gridCol w:w="267"/>
        <w:gridCol w:w="237"/>
        <w:gridCol w:w="558"/>
        <w:gridCol w:w="109"/>
        <w:gridCol w:w="109"/>
        <w:gridCol w:w="109"/>
        <w:gridCol w:w="196"/>
        <w:gridCol w:w="789"/>
        <w:gridCol w:w="109"/>
        <w:gridCol w:w="109"/>
        <w:gridCol w:w="109"/>
        <w:gridCol w:w="109"/>
        <w:gridCol w:w="267"/>
        <w:gridCol w:w="237"/>
        <w:gridCol w:w="558"/>
        <w:gridCol w:w="109"/>
        <w:gridCol w:w="159"/>
      </w:tblGrid>
      <w:tr>
        <w:trPr/>
        <w:tc>
          <w:tcPr>
            <w:tcW w:w="158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657" w:type="dxa"/>
            <w:gridSpan w:val="8"/>
            <w:tcBorders/>
          </w:tcPr>
          <w:p>
            <w:pPr>
              <w:pStyle w:val="TableContents"/>
              <w:bidi w:val="0"/>
              <w:spacing w:before="0" w:after="283"/>
              <w:jc w:val="left"/>
              <w:rPr>
                <w:sz w:val="4"/>
                <w:szCs w:val="4"/>
              </w:rPr>
            </w:pPr>
            <w:r>
              <w:rPr>
                <w:sz w:val="4"/>
                <w:szCs w:val="4"/>
              </w:rPr>
            </w:r>
          </w:p>
        </w:tc>
      </w:tr>
      <w:tr>
        <w:trPr/>
        <w:tc>
          <w:tcPr>
            <w:tcW w:w="4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on crypto assets and receivable, crypto assets pledged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 on related party crypto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related party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third party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funding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Comparison of Components of Results of Operations for the Three Months Ended March 31, 2026 and 2025 </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Transaction Revenue</w:t>
      </w:r>
    </w:p>
    <w:tbl>
      <w:tblPr>
        <w:tblW w:w="9138" w:type="dxa"/>
        <w:jc w:val="left"/>
        <w:tblInd w:w="0" w:type="dxa"/>
        <w:tblLayout w:type="fixed"/>
        <w:tblCellMar>
          <w:top w:w="28" w:type="dxa"/>
          <w:left w:w="28" w:type="dxa"/>
          <w:bottom w:w="28" w:type="dxa"/>
          <w:right w:w="28" w:type="dxa"/>
        </w:tblCellMar>
      </w:tblPr>
      <w:tblGrid>
        <w:gridCol w:w="884"/>
        <w:gridCol w:w="779"/>
        <w:gridCol w:w="781"/>
        <w:gridCol w:w="109"/>
        <w:gridCol w:w="109"/>
        <w:gridCol w:w="240"/>
        <w:gridCol w:w="240"/>
        <w:gridCol w:w="432"/>
        <w:gridCol w:w="1426"/>
        <w:gridCol w:w="240"/>
        <w:gridCol w:w="109"/>
        <w:gridCol w:w="109"/>
        <w:gridCol w:w="109"/>
        <w:gridCol w:w="196"/>
        <w:gridCol w:w="646"/>
        <w:gridCol w:w="109"/>
        <w:gridCol w:w="109"/>
        <w:gridCol w:w="109"/>
        <w:gridCol w:w="109"/>
        <w:gridCol w:w="196"/>
        <w:gridCol w:w="631"/>
        <w:gridCol w:w="109"/>
        <w:gridCol w:w="109"/>
        <w:gridCol w:w="109"/>
        <w:gridCol w:w="109"/>
        <w:gridCol w:w="255"/>
        <w:gridCol w:w="256"/>
        <w:gridCol w:w="256"/>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17,172 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OTC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Prediction markets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Other transaction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transaction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24,128 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Exchange revenue decreased by $6.4 million, or 27%, for the three months ended March 31, 2026, primarily driven by a $7.7 million decrease in retail revenue, partially offset by a $1.3 million increase in institutional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Retail revenue decreased by $7.7 million, or 34%, primarily driven by a $6.3 million decline associated with a 28% reduction in retail trading volume. In addition, retail revenue was negatively impacted by $1.1 million due to unfavorable changes in trading mix, reflecting a higher proportion of trading pairs and order types with lower fee rates, as well as a $0.3 million decrease in withdrawal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Institutional revenue increased by $1.3 million for the three months ended March 31, 2026, primarily due to a $1.8 million decrease in incentive credits provided to market makers, reflecting higher net trading fees. This increase was partially offset by a $0.6 million decline in institutional revenue associated with a 57% decrease in institutional trading volume.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OTC revenue increased by $6.2 million, or 4803%, for the three months ended March 31, 2026, primarily driven by increased activity from a small number of large institutional clients, including several high-value trades during the period. These transactions were driven by opportunistic, client-driven demand and may not recur at similar levels in future periods. The increase was further supported by continued growth in the Company’s electronic OTC (eOTC) offering, including expansion of its API client base and increased engagement from existing institutional counterparties.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Prediction markets revenue increased driven by the launch of Gemini Predictions in December 2025, which introduced a new source of revenue and contributed approximately $0.4 million of revenue for the three months ended March 31,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other transaction revenue decreased by $0.3 million, or 59%, primarily due to the wind-down of our NFT business following our January 2026 decision to discontinue these activities amid continued market weakness. The remaining revenue in this category primarily reflects interest income and fees from spot margin trading services, which partially offset the decline but remain immaterial.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Services Revenue</w:t>
      </w:r>
    </w:p>
    <w:tbl>
      <w:tblPr>
        <w:tblW w:w="8973" w:type="dxa"/>
        <w:jc w:val="left"/>
        <w:tblInd w:w="0" w:type="dxa"/>
        <w:tblLayout w:type="fixed"/>
        <w:tblCellMar>
          <w:top w:w="28" w:type="dxa"/>
          <w:left w:w="28" w:type="dxa"/>
          <w:bottom w:w="28" w:type="dxa"/>
          <w:right w:w="28" w:type="dxa"/>
        </w:tblCellMar>
      </w:tblPr>
      <w:tblGrid>
        <w:gridCol w:w="884"/>
        <w:gridCol w:w="779"/>
        <w:gridCol w:w="781"/>
        <w:gridCol w:w="109"/>
        <w:gridCol w:w="109"/>
        <w:gridCol w:w="240"/>
        <w:gridCol w:w="240"/>
        <w:gridCol w:w="432"/>
        <w:gridCol w:w="1426"/>
        <w:gridCol w:w="240"/>
        <w:gridCol w:w="109"/>
        <w:gridCol w:w="109"/>
        <w:gridCol w:w="109"/>
        <w:gridCol w:w="196"/>
        <w:gridCol w:w="556"/>
        <w:gridCol w:w="109"/>
        <w:gridCol w:w="109"/>
        <w:gridCol w:w="109"/>
        <w:gridCol w:w="109"/>
        <w:gridCol w:w="196"/>
        <w:gridCol w:w="646"/>
        <w:gridCol w:w="109"/>
        <w:gridCol w:w="109"/>
        <w:gridCol w:w="109"/>
        <w:gridCol w:w="109"/>
        <w:gridCol w:w="210"/>
        <w:gridCol w:w="211"/>
        <w:gridCol w:w="256"/>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Staking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Advisory 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Custodial 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Other 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21,815 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Credit card revenue increased by $11.0 million, or 292%, for the three months ended March 31, 2026, primarily driven by continued growth in the Gemini Credit Card user base and increased cardholder activity, which contributed to higher transaction volumes and revenue. The expansion of the cardholder base over time, including higher sign-ups in recent periods, supported this growth.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Staking revenue decreased by $1.0 million, or 31%, for the three months ended March 31, 2026, primarily due to lower levels of staking activity, decreases in staked asset volumes, and general price depreciation across supported tokens.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Advisory fee revenue for the three months ended March 31, 2026, increased due to an advisory services agreement with a strategic customer introduced in the third quarter of 2025. Under this arrangement, we provide advisory services and receive warrants as consideration. Revenue is recognized over time as services are being provided based on the fair value of the warrants at grant date. This arrangement contributed approximately $2.7 million of revenue for the three months ended March 31,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Custodial fee revenue did not change materially for the three months ended March 31,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services revenue for the three months ended March 31, 2026, increased primarily due to the introduction of new onchain offerings, including integrations and token listing services. These services generated approximately $0.4 million in revenue as we expanded our ecosystem partnerships and provided technical support for new token launches. Given the project-based nature of these services, revenue may fluctuate from period to period depending on the size of integration or listing engagements.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Other Revenue</w:t>
      </w:r>
    </w:p>
    <w:p>
      <w:pPr>
        <w:pStyle w:val="TextBody"/>
        <w:bidi w:val="0"/>
        <w:spacing w:before="0" w:after="0"/>
        <w:jc w:val="both"/>
        <w:rPr/>
      </w:pPr>
      <w:r>
        <w:rPr/>
      </w:r>
    </w:p>
    <w:tbl>
      <w:tblPr>
        <w:tblW w:w="8096" w:type="dxa"/>
        <w:jc w:val="left"/>
        <w:tblInd w:w="0" w:type="dxa"/>
        <w:tblLayout w:type="fixed"/>
        <w:tblCellMar>
          <w:top w:w="28" w:type="dxa"/>
          <w:left w:w="28" w:type="dxa"/>
          <w:bottom w:w="28" w:type="dxa"/>
          <w:right w:w="28" w:type="dxa"/>
        </w:tblCellMar>
      </w:tblPr>
      <w:tblGrid>
        <w:gridCol w:w="884"/>
        <w:gridCol w:w="779"/>
        <w:gridCol w:w="781"/>
        <w:gridCol w:w="109"/>
        <w:gridCol w:w="109"/>
        <w:gridCol w:w="329"/>
        <w:gridCol w:w="329"/>
        <w:gridCol w:w="592"/>
        <w:gridCol w:w="1000"/>
        <w:gridCol w:w="329"/>
        <w:gridCol w:w="109"/>
        <w:gridCol w:w="109"/>
        <w:gridCol w:w="109"/>
        <w:gridCol w:w="196"/>
        <w:gridCol w:w="331"/>
        <w:gridCol w:w="109"/>
        <w:gridCol w:w="109"/>
        <w:gridCol w:w="109"/>
        <w:gridCol w:w="109"/>
        <w:gridCol w:w="196"/>
        <w:gridCol w:w="316"/>
        <w:gridCol w:w="109"/>
        <w:gridCol w:w="109"/>
        <w:gridCol w:w="109"/>
        <w:gridCol w:w="109"/>
        <w:gridCol w:w="158"/>
        <w:gridCol w:w="158"/>
        <w:gridCol w:w="301"/>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944"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bottom w:val="single" w:sz="8" w:space="0" w:color="FFFFFF"/>
            </w:tcBorders>
            <w:shd w:fill="CCEEFF" w:val="clear"/>
            <w:tcMar>
              <w:top w:w="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material change in Other revenue for the three months ended March 31,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Revenue Not from Contracts with Customers</w:t>
      </w:r>
    </w:p>
    <w:tbl>
      <w:tblPr>
        <w:tblW w:w="10205" w:type="dxa"/>
        <w:jc w:val="left"/>
        <w:tblInd w:w="0" w:type="dxa"/>
        <w:tblLayout w:type="fixed"/>
        <w:tblCellMar>
          <w:top w:w="28" w:type="dxa"/>
          <w:left w:w="28" w:type="dxa"/>
          <w:bottom w:w="28" w:type="dxa"/>
          <w:right w:w="28" w:type="dxa"/>
        </w:tblCellMar>
      </w:tblPr>
      <w:tblGrid>
        <w:gridCol w:w="1210"/>
        <w:gridCol w:w="1066"/>
        <w:gridCol w:w="1069"/>
        <w:gridCol w:w="156"/>
        <w:gridCol w:w="156"/>
        <w:gridCol w:w="253"/>
        <w:gridCol w:w="253"/>
        <w:gridCol w:w="455"/>
        <w:gridCol w:w="1293"/>
        <w:gridCol w:w="253"/>
        <w:gridCol w:w="156"/>
        <w:gridCol w:w="156"/>
        <w:gridCol w:w="156"/>
        <w:gridCol w:w="281"/>
        <w:gridCol w:w="800"/>
        <w:gridCol w:w="156"/>
        <w:gridCol w:w="109"/>
        <w:gridCol w:w="109"/>
        <w:gridCol w:w="109"/>
        <w:gridCol w:w="196"/>
        <w:gridCol w:w="556"/>
        <w:gridCol w:w="109"/>
        <w:gridCol w:w="109"/>
        <w:gridCol w:w="109"/>
        <w:gridCol w:w="109"/>
        <w:gridCol w:w="254"/>
        <w:gridCol w:w="257"/>
        <w:gridCol w:w="310"/>
      </w:tblGrid>
      <w:tr>
        <w:trPr/>
        <w:tc>
          <w:tcPr>
            <w:tcW w:w="121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0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1148" w:type="dxa"/>
            <w:gridSpan w:val="6"/>
            <w:tcBorders/>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334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0"/>
              </w:rPr>
              <w:t>Revenue not from contracts with customers</w:t>
            </w:r>
            <w:r>
              <w:rPr>
                <w:color w:val="000000"/>
              </w:rPr>
              <w:t xml:space="preserve"> </w:t>
            </w:r>
            <w:r>
              <w:rPr>
                <w:rFonts w:ascii="Times New Roman;serif" w:hAnsi="Times New Roman;serif"/>
                <w:b w:val="false"/>
                <w:color w:val="000000"/>
                <w:sz w:val="13"/>
              </w:rPr>
              <w:t>(1)</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interest</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not from contracts with customers</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69" w:type="dxa"/>
            <w:gridSpan w:val="1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Amounts represent revenue that is not accounted for as revenue from contracts with customers, as defined in ASC 606. Interest income is included within Net revenue and Corporate interest is included within Other revenue, respectively, on the condensed consolidated statements of operations and comprehensive loss included in our condensed consolidated financial statements included in Part I, Item 1 of this Quarterly Report on Form 10-Q.</w:t>
            </w:r>
          </w:p>
        </w:tc>
        <w:tc>
          <w:tcPr>
            <w:tcW w:w="2336"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$0.4 million, or 16%, for the three months ended March 31, 2026, primarily driven by an increase in interest income on higher customer deposits.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interest increased by $1.5 million for the three months ended March 31, 2026, primarily driven by higher interest earned on operating accounts as a result of higher average cash balances throughout the year. </w:t>
      </w:r>
    </w:p>
    <w:p>
      <w:pPr>
        <w:pStyle w:val="TextBody"/>
        <w:bidi w:val="0"/>
        <w:spacing w:before="0" w:after="0"/>
        <w:ind w:left="0" w:right="0" w:firstLine="50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Salaries and compensation</w:t>
      </w:r>
    </w:p>
    <w:tbl>
      <w:tblPr>
        <w:tblW w:w="10205" w:type="dxa"/>
        <w:jc w:val="left"/>
        <w:tblInd w:w="0" w:type="dxa"/>
        <w:tblLayout w:type="fixed"/>
        <w:tblCellMar>
          <w:top w:w="28" w:type="dxa"/>
          <w:left w:w="28" w:type="dxa"/>
          <w:bottom w:w="28" w:type="dxa"/>
          <w:right w:w="28" w:type="dxa"/>
        </w:tblCellMar>
      </w:tblPr>
      <w:tblGrid>
        <w:gridCol w:w="1632"/>
        <w:gridCol w:w="1246"/>
        <w:gridCol w:w="1249"/>
        <w:gridCol w:w="109"/>
        <w:gridCol w:w="109"/>
        <w:gridCol w:w="160"/>
        <w:gridCol w:w="160"/>
        <w:gridCol w:w="289"/>
        <w:gridCol w:w="955"/>
        <w:gridCol w:w="160"/>
        <w:gridCol w:w="109"/>
        <w:gridCol w:w="109"/>
        <w:gridCol w:w="109"/>
        <w:gridCol w:w="196"/>
        <w:gridCol w:w="646"/>
        <w:gridCol w:w="109"/>
        <w:gridCol w:w="109"/>
        <w:gridCol w:w="109"/>
        <w:gridCol w:w="109"/>
        <w:gridCol w:w="109"/>
        <w:gridCol w:w="109"/>
        <w:gridCol w:w="196"/>
        <w:gridCol w:w="646"/>
        <w:gridCol w:w="109"/>
        <w:gridCol w:w="109"/>
        <w:gridCol w:w="109"/>
        <w:gridCol w:w="109"/>
        <w:gridCol w:w="109"/>
        <w:gridCol w:w="109"/>
        <w:gridCol w:w="254"/>
        <w:gridCol w:w="257"/>
        <w:gridCol w:w="306"/>
      </w:tblGrid>
      <w:tr>
        <w:trPr/>
        <w:tc>
          <w:tcPr>
            <w:tcW w:w="163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1362" w:type="dxa"/>
            <w:gridSpan w:val="8"/>
            <w:tcBorders/>
          </w:tcPr>
          <w:p>
            <w:pPr>
              <w:pStyle w:val="TableContents"/>
              <w:bidi w:val="0"/>
              <w:spacing w:before="0" w:after="283"/>
              <w:jc w:val="left"/>
              <w:rPr>
                <w:sz w:val="4"/>
                <w:szCs w:val="4"/>
              </w:rPr>
            </w:pPr>
            <w:r>
              <w:rPr>
                <w:sz w:val="4"/>
                <w:szCs w:val="4"/>
              </w:rPr>
            </w:r>
          </w:p>
        </w:tc>
      </w:tr>
      <w:tr>
        <w:trPr/>
        <w:tc>
          <w:tcPr>
            <w:tcW w:w="4127"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Employee compensation, benefits and personnel-related costs, excluding stock-based compensation and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Severance 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salaries and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65,428 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Salaries and compensation expenses increased by $31.2 million, or 91%, for the three months ended March 31, 2026, primarily driven by a $22.7 million increase in stock-based compensation related to equity awards issued in connection with the IPO. Stock-based compensation in the current period was partially reduced by approximately $7.1 million, net of certain accelerated expense for executives, reflecting forfeitures of awards in connection with the reduction in force in February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Severance costs increased by $6.5 million in the three months ended March 31, 2026, primarily in connection with the reduction in force affecting approximately 200 employees, including certain officers and directors.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Employee compensation, excluding stock-based compensation and severance, increased by $1.9 million, or 6%, compared to the three months ended March 31, 2025. This increase was primarily driven by $1.5 million of higher bonuses associated with increased business activity, and $1.0 million of higher payroll taxes related to equity award releases following the IPO. These increases were partially offset by a $0.8 million decrease in employee compensation reflecting the partial impact of the reduction in force announced in February 2026.</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Technology expenses</w:t>
      </w:r>
    </w:p>
    <w:p>
      <w:pPr>
        <w:pStyle w:val="TextBody"/>
        <w:bidi w:val="0"/>
        <w:spacing w:before="0" w:after="0"/>
        <w:jc w:val="both"/>
        <w:rPr/>
      </w:pPr>
      <w:r>
        <w:rPr/>
      </w:r>
    </w:p>
    <w:tbl>
      <w:tblPr>
        <w:tblW w:w="9985" w:type="dxa"/>
        <w:jc w:val="left"/>
        <w:tblInd w:w="0" w:type="dxa"/>
        <w:tblLayout w:type="fixed"/>
        <w:tblCellMar>
          <w:top w:w="28" w:type="dxa"/>
          <w:left w:w="28" w:type="dxa"/>
          <w:bottom w:w="28" w:type="dxa"/>
          <w:right w:w="28" w:type="dxa"/>
        </w:tblCellMar>
      </w:tblPr>
      <w:tblGrid>
        <w:gridCol w:w="1177"/>
        <w:gridCol w:w="1037"/>
        <w:gridCol w:w="1040"/>
        <w:gridCol w:w="109"/>
        <w:gridCol w:w="109"/>
        <w:gridCol w:w="240"/>
        <w:gridCol w:w="240"/>
        <w:gridCol w:w="432"/>
        <w:gridCol w:w="1426"/>
        <w:gridCol w:w="240"/>
        <w:gridCol w:w="109"/>
        <w:gridCol w:w="109"/>
        <w:gridCol w:w="109"/>
        <w:gridCol w:w="196"/>
        <w:gridCol w:w="646"/>
        <w:gridCol w:w="109"/>
        <w:gridCol w:w="109"/>
        <w:gridCol w:w="109"/>
        <w:gridCol w:w="109"/>
        <w:gridCol w:w="109"/>
        <w:gridCol w:w="109"/>
        <w:gridCol w:w="196"/>
        <w:gridCol w:w="556"/>
        <w:gridCol w:w="109"/>
        <w:gridCol w:w="109"/>
        <w:gridCol w:w="109"/>
        <w:gridCol w:w="109"/>
        <w:gridCol w:w="109"/>
        <w:gridCol w:w="109"/>
        <w:gridCol w:w="201"/>
        <w:gridCol w:w="204"/>
        <w:gridCol w:w="301"/>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1251" w:type="dxa"/>
            <w:gridSpan w:val="8"/>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Cloud computing and infrastructure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and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22,090 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Technology expenses increased by $5.4 million, or 32%, for the three months ended March 31, 2026, primarily due to higher cloud computing costs of $6.2 million associated with increased transaction activity and platform growth. These increases were partially offset by a $0.8 million decrease in equipment-related costs and amortization expense and impairment, reflecting the full amortization of certain capitalized technology assets in prior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jc w:val="both"/>
        <w:rPr/>
      </w:pPr>
      <w:r>
        <w:rPr/>
      </w:r>
    </w:p>
    <w:tbl>
      <w:tblPr>
        <w:tblW w:w="9940" w:type="dxa"/>
        <w:jc w:val="left"/>
        <w:tblInd w:w="0" w:type="dxa"/>
        <w:tblLayout w:type="fixed"/>
        <w:tblCellMar>
          <w:top w:w="28" w:type="dxa"/>
          <w:left w:w="28" w:type="dxa"/>
          <w:bottom w:w="28" w:type="dxa"/>
          <w:right w:w="28" w:type="dxa"/>
        </w:tblCellMar>
      </w:tblPr>
      <w:tblGrid>
        <w:gridCol w:w="1128"/>
        <w:gridCol w:w="994"/>
        <w:gridCol w:w="997"/>
        <w:gridCol w:w="109"/>
        <w:gridCol w:w="109"/>
        <w:gridCol w:w="240"/>
        <w:gridCol w:w="240"/>
        <w:gridCol w:w="432"/>
        <w:gridCol w:w="1426"/>
        <w:gridCol w:w="240"/>
        <w:gridCol w:w="109"/>
        <w:gridCol w:w="109"/>
        <w:gridCol w:w="109"/>
        <w:gridCol w:w="196"/>
        <w:gridCol w:w="646"/>
        <w:gridCol w:w="109"/>
        <w:gridCol w:w="109"/>
        <w:gridCol w:w="109"/>
        <w:gridCol w:w="109"/>
        <w:gridCol w:w="109"/>
        <w:gridCol w:w="109"/>
        <w:gridCol w:w="196"/>
        <w:gridCol w:w="556"/>
        <w:gridCol w:w="109"/>
        <w:gridCol w:w="109"/>
        <w:gridCol w:w="109"/>
        <w:gridCol w:w="109"/>
        <w:gridCol w:w="109"/>
        <w:gridCol w:w="109"/>
        <w:gridCol w:w="245"/>
        <w:gridCol w:w="250"/>
        <w:gridCol w:w="301"/>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1341" w:type="dxa"/>
            <w:gridSpan w:val="8"/>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Legal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corporate overhead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21,680 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$7.7 million, or 55%, for the three months ended March 31, 2026, primarily due to a $5.1 million increase in legal expenses associated with a higher level of legal and regulatory activity, including support for strategic initiatives and other corporate matters. Further contributing to the increase was a $2.6 million rise in professional services to support additional compliance and reporting obligations following the IPO.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increases included a $1.2 million increase in depreciation, amortization and impairment, primarily related to the impairment of right-of-use assets and fixed assets as a result of the Restructuring. Credit card issuance costs increased $0.8 million from the production and distribution of physical cards, and real estate related expenses increased $0.8 million from new lease arrangements. These increases were partially offset by a $2.8 million decrease in general corporate overhead, primarily reflecting the impact of non-recurring adjustments recognized in the current period related to the wind-down and rationalization of certain international entities.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Transaction losses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09"/>
        <w:gridCol w:w="1154"/>
        <w:gridCol w:w="1156"/>
        <w:gridCol w:w="109"/>
        <w:gridCol w:w="109"/>
        <w:gridCol w:w="233"/>
        <w:gridCol w:w="233"/>
        <w:gridCol w:w="419"/>
        <w:gridCol w:w="1385"/>
        <w:gridCol w:w="233"/>
        <w:gridCol w:w="109"/>
        <w:gridCol w:w="109"/>
        <w:gridCol w:w="109"/>
        <w:gridCol w:w="196"/>
        <w:gridCol w:w="556"/>
        <w:gridCol w:w="109"/>
        <w:gridCol w:w="109"/>
        <w:gridCol w:w="109"/>
        <w:gridCol w:w="109"/>
        <w:gridCol w:w="109"/>
        <w:gridCol w:w="109"/>
        <w:gridCol w:w="196"/>
        <w:gridCol w:w="556"/>
        <w:gridCol w:w="109"/>
        <w:gridCol w:w="109"/>
        <w:gridCol w:w="109"/>
        <w:gridCol w:w="109"/>
        <w:gridCol w:w="109"/>
        <w:gridCol w:w="109"/>
        <w:gridCol w:w="209"/>
        <w:gridCol w:w="212"/>
        <w:gridCol w:w="305"/>
      </w:tblGrid>
      <w:tr>
        <w:trPr/>
        <w:tc>
          <w:tcPr>
            <w:tcW w:w="13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1271" w:type="dxa"/>
            <w:gridSpan w:val="8"/>
            <w:tcBorders/>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8"/>
              </w:rPr>
              <w:t>Provision for expected credit losses (credit cards)</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Credit card fraud reserve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ACH and other transaction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transaction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11,090 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28" w:type="dxa"/>
            <w:gridSpan w:val="16"/>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2677" w:type="dxa"/>
            <w:gridSpan w:val="16"/>
            <w:tcBorders/>
          </w:tcPr>
          <w:p>
            <w:pPr>
              <w:pStyle w:val="TableContents"/>
              <w:bidi w:val="0"/>
              <w:spacing w:before="0" w:after="283"/>
              <w:jc w:val="left"/>
              <w:rPr>
                <w:sz w:val="4"/>
                <w:szCs w:val="4"/>
              </w:rPr>
            </w:pPr>
            <w:r>
              <w:rPr>
                <w:sz w:val="4"/>
                <w:szCs w:val="4"/>
              </w:rPr>
            </w:r>
          </w:p>
        </w:tc>
      </w:tr>
      <w:tr>
        <w:trPr/>
        <w:tc>
          <w:tcPr>
            <w:tcW w:w="7528" w:type="dxa"/>
            <w:gridSpan w:val="1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(1) Amounts represent provision for expected credit losses on credit card receivables and credit card receivables pledged. </w:t>
            </w:r>
          </w:p>
        </w:tc>
        <w:tc>
          <w:tcPr>
            <w:tcW w:w="2677" w:type="dxa"/>
            <w:gridSpan w:val="16"/>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losses increased by $7.0 million, or 169%, for the three months ended March 31, 2026, primarily driven by higher provision for expected credit losses on credit card receivables, which increased by $2.0 million as a result of growth in the credit card portfolio. </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transaction losses increased due to $4.1 million of credit card fraud reserve recognized in the current period, reflecting elevated fraud activity.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contributing to the increase was a $0.8 million rise in ACH and other transaction losses, primarily associated with increased transaction volumes.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before="0" w:after="0"/>
        <w:jc w:val="both"/>
        <w:rPr/>
      </w:pPr>
      <w:r>
        <w:rPr/>
      </w:r>
    </w:p>
    <w:tbl>
      <w:tblPr>
        <w:tblW w:w="10107" w:type="dxa"/>
        <w:jc w:val="left"/>
        <w:tblInd w:w="0" w:type="dxa"/>
        <w:tblLayout w:type="fixed"/>
        <w:tblCellMar>
          <w:top w:w="28" w:type="dxa"/>
          <w:left w:w="28" w:type="dxa"/>
          <w:bottom w:w="28" w:type="dxa"/>
          <w:right w:w="28" w:type="dxa"/>
        </w:tblCellMar>
      </w:tblPr>
      <w:tblGrid>
        <w:gridCol w:w="1216"/>
        <w:gridCol w:w="1071"/>
        <w:gridCol w:w="1073"/>
        <w:gridCol w:w="109"/>
        <w:gridCol w:w="109"/>
        <w:gridCol w:w="240"/>
        <w:gridCol w:w="240"/>
        <w:gridCol w:w="432"/>
        <w:gridCol w:w="1426"/>
        <w:gridCol w:w="240"/>
        <w:gridCol w:w="109"/>
        <w:gridCol w:w="109"/>
        <w:gridCol w:w="109"/>
        <w:gridCol w:w="196"/>
        <w:gridCol w:w="556"/>
        <w:gridCol w:w="109"/>
        <w:gridCol w:w="109"/>
        <w:gridCol w:w="109"/>
        <w:gridCol w:w="109"/>
        <w:gridCol w:w="109"/>
        <w:gridCol w:w="109"/>
        <w:gridCol w:w="196"/>
        <w:gridCol w:w="646"/>
        <w:gridCol w:w="109"/>
        <w:gridCol w:w="109"/>
        <w:gridCol w:w="109"/>
        <w:gridCol w:w="109"/>
        <w:gridCol w:w="109"/>
        <w:gridCol w:w="109"/>
        <w:gridCol w:w="209"/>
        <w:gridCol w:w="212"/>
        <w:gridCol w:w="301"/>
      </w:tblGrid>
      <w:tr>
        <w:trPr/>
        <w:tc>
          <w:tcPr>
            <w:tcW w:w="121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1267" w:type="dxa"/>
            <w:gridSpan w:val="8"/>
            <w:tcBorders/>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acquisition and brand spend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promotional and referral incentives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19,071 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$10.0 million, or 111%, for the three months ended March 31, 2026, primarily driven by a $6.2 million increase in credit card rewards consistent with growth in the credit card user base and higher cardholder spending activity. Further contributing to the increase was a $2.9 million rise in marketing acquisition and brand spend to support targeted customer acquisition and brand awareness efforts, as well as a $1.0 million increase in marketing promotional and referral incentives associated with customer acquisition efforts.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Transaction processing</w:t>
      </w:r>
    </w:p>
    <w:p>
      <w:pPr>
        <w:pStyle w:val="TextBody"/>
        <w:bidi w:val="0"/>
        <w:spacing w:before="0" w:after="0"/>
        <w:jc w:val="both"/>
        <w:rPr/>
      </w:pPr>
      <w:r>
        <w:rPr/>
      </w:r>
    </w:p>
    <w:tbl>
      <w:tblPr>
        <w:tblW w:w="9265" w:type="dxa"/>
        <w:jc w:val="left"/>
        <w:tblInd w:w="0" w:type="dxa"/>
        <w:tblLayout w:type="fixed"/>
        <w:tblCellMar>
          <w:top w:w="28" w:type="dxa"/>
          <w:left w:w="28" w:type="dxa"/>
          <w:bottom w:w="28" w:type="dxa"/>
          <w:right w:w="28" w:type="dxa"/>
        </w:tblCellMar>
      </w:tblPr>
      <w:tblGrid>
        <w:gridCol w:w="884"/>
        <w:gridCol w:w="779"/>
        <w:gridCol w:w="781"/>
        <w:gridCol w:w="109"/>
        <w:gridCol w:w="109"/>
        <w:gridCol w:w="260"/>
        <w:gridCol w:w="260"/>
        <w:gridCol w:w="468"/>
        <w:gridCol w:w="1329"/>
        <w:gridCol w:w="260"/>
        <w:gridCol w:w="109"/>
        <w:gridCol w:w="109"/>
        <w:gridCol w:w="109"/>
        <w:gridCol w:w="196"/>
        <w:gridCol w:w="556"/>
        <w:gridCol w:w="109"/>
        <w:gridCol w:w="109"/>
        <w:gridCol w:w="109"/>
        <w:gridCol w:w="109"/>
        <w:gridCol w:w="109"/>
        <w:gridCol w:w="109"/>
        <w:gridCol w:w="196"/>
        <w:gridCol w:w="631"/>
        <w:gridCol w:w="109"/>
        <w:gridCol w:w="109"/>
        <w:gridCol w:w="109"/>
        <w:gridCol w:w="109"/>
        <w:gridCol w:w="109"/>
        <w:gridCol w:w="109"/>
        <w:gridCol w:w="255"/>
        <w:gridCol w:w="256"/>
        <w:gridCol w:w="301"/>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1357" w:type="dxa"/>
            <w:gridSpan w:val="8"/>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Staking rewards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Banking and compliance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Processing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Minting and mining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transaction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5,101 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processing expenses decreased $0.1 million, or 3%, for the three months ended March 31, 2026, primarily due to a $1.3 million decrease in staking rewards, reflecting lower staking activity and related revenue. In addition, minting and mining-related fees decreased $0.1 million, driven in part by lower average network gas prices, which reduced transaction costs associated with exchange activity. These decreases were partially offset by a $1.0 million increase in processing fees, primarily related to costs associated with newly introduced and expanded products, including clearing fees for prediction markets activity and fees paid to market makers. Banking and compliance service fees also increased by $0.2 million.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before="0" w:after="0"/>
        <w:jc w:val="both"/>
        <w:rPr/>
      </w:pPr>
      <w:r>
        <w:rPr/>
      </w:r>
    </w:p>
    <w:p>
      <w:pPr>
        <w:pStyle w:val="TextBody"/>
        <w:bidi w:val="0"/>
        <w:spacing w:lineRule="auto" w:line="288" w:before="0" w:after="0"/>
        <w:ind w:left="0" w:right="0" w:firstLine="504"/>
        <w:jc w:val="both"/>
        <w:rPr>
          <w:rFonts w:ascii="Times New Roman;serif" w:hAnsi="Times New Roman;serif"/>
          <w:b w:val="false"/>
          <w:i/>
          <w:color w:val="000000"/>
          <w:sz w:val="20"/>
        </w:rPr>
      </w:pPr>
      <w:r>
        <w:rPr>
          <w:rFonts w:ascii="Times New Roman;serif" w:hAnsi="Times New Roman;serif"/>
          <w:b w:val="false"/>
          <w:i/>
          <w:color w:val="000000"/>
          <w:sz w:val="20"/>
        </w:rPr>
        <w:t>Realized and unrealized gain (loss) on crypto assets and receivable, crypto assets pledged</w:t>
      </w:r>
    </w:p>
    <w:p>
      <w:pPr>
        <w:pStyle w:val="TextBody"/>
        <w:bidi w:val="0"/>
        <w:spacing w:before="0" w:after="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384"/>
        <w:gridCol w:w="1219"/>
        <w:gridCol w:w="1222"/>
        <w:gridCol w:w="109"/>
        <w:gridCol w:w="109"/>
        <w:gridCol w:w="166"/>
        <w:gridCol w:w="166"/>
        <w:gridCol w:w="300"/>
        <w:gridCol w:w="1219"/>
        <w:gridCol w:w="166"/>
        <w:gridCol w:w="109"/>
        <w:gridCol w:w="109"/>
        <w:gridCol w:w="109"/>
        <w:gridCol w:w="196"/>
        <w:gridCol w:w="785"/>
        <w:gridCol w:w="109"/>
        <w:gridCol w:w="109"/>
        <w:gridCol w:w="109"/>
        <w:gridCol w:w="109"/>
        <w:gridCol w:w="109"/>
        <w:gridCol w:w="109"/>
        <w:gridCol w:w="196"/>
        <w:gridCol w:w="646"/>
        <w:gridCol w:w="109"/>
        <w:gridCol w:w="109"/>
        <w:gridCol w:w="109"/>
        <w:gridCol w:w="109"/>
        <w:gridCol w:w="109"/>
        <w:gridCol w:w="109"/>
        <w:gridCol w:w="190"/>
        <w:gridCol w:w="190"/>
        <w:gridCol w:w="307"/>
      </w:tblGrid>
      <w:tr>
        <w:trPr/>
        <w:tc>
          <w:tcPr>
            <w:tcW w:w="138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1232" w:type="dxa"/>
            <w:gridSpan w:val="8"/>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on crypto assets and receivable, crypto assets pledged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(100,977)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Realized and unrealized loss on crypto assets and receivable, crypto assets pledged decreased $28.0 million, or 22% for the three months ended March 31, 2026. This change was driven by both higher realized gains and higher unrealized losses. Realized gains increased primarily due to higher loan repayments of borrowed crypto assets.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 declines in BTC and ETH prices during the year resulted in higher unrealized losses on crypto assets held compared to the prior year.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Realized and unrealized gain (loss) on related party crypto loans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43"/>
        <w:gridCol w:w="1183"/>
        <w:gridCol w:w="1186"/>
        <w:gridCol w:w="109"/>
        <w:gridCol w:w="109"/>
        <w:gridCol w:w="220"/>
        <w:gridCol w:w="220"/>
        <w:gridCol w:w="397"/>
        <w:gridCol w:w="1311"/>
        <w:gridCol w:w="220"/>
        <w:gridCol w:w="109"/>
        <w:gridCol w:w="109"/>
        <w:gridCol w:w="109"/>
        <w:gridCol w:w="196"/>
        <w:gridCol w:w="646"/>
        <w:gridCol w:w="109"/>
        <w:gridCol w:w="109"/>
        <w:gridCol w:w="109"/>
        <w:gridCol w:w="109"/>
        <w:gridCol w:w="109"/>
        <w:gridCol w:w="109"/>
        <w:gridCol w:w="196"/>
        <w:gridCol w:w="622"/>
        <w:gridCol w:w="109"/>
        <w:gridCol w:w="109"/>
        <w:gridCol w:w="109"/>
        <w:gridCol w:w="109"/>
        <w:gridCol w:w="109"/>
        <w:gridCol w:w="109"/>
        <w:gridCol w:w="153"/>
        <w:gridCol w:w="153"/>
        <w:gridCol w:w="306"/>
      </w:tblGrid>
      <w:tr>
        <w:trPr/>
        <w:tc>
          <w:tcPr>
            <w:tcW w:w="134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1157" w:type="dxa"/>
            <w:gridSpan w:val="8"/>
            <w:tcBorders/>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 on related party crypto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90,082 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Realized and unrealized gain on related party crypto loans decreased by $8.9 million, or 9% for the three months ended March 31, 2026, primarily driven by higher realized losses from increased loan repayment volumes relative to the prior year. This is offset by larger unrealized gains from steeper price declines for the three months ended March 31, 2026 compared to the same period in 2025.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on related party convertible notes and related party loans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54"/>
        <w:gridCol w:w="1193"/>
        <w:gridCol w:w="1197"/>
        <w:gridCol w:w="109"/>
        <w:gridCol w:w="109"/>
        <w:gridCol w:w="290"/>
        <w:gridCol w:w="290"/>
        <w:gridCol w:w="522"/>
        <w:gridCol w:w="1082"/>
        <w:gridCol w:w="290"/>
        <w:gridCol w:w="109"/>
        <w:gridCol w:w="109"/>
        <w:gridCol w:w="109"/>
        <w:gridCol w:w="196"/>
        <w:gridCol w:w="717"/>
        <w:gridCol w:w="109"/>
        <w:gridCol w:w="109"/>
        <w:gridCol w:w="109"/>
        <w:gridCol w:w="109"/>
        <w:gridCol w:w="109"/>
        <w:gridCol w:w="109"/>
        <w:gridCol w:w="196"/>
        <w:gridCol w:w="646"/>
        <w:gridCol w:w="109"/>
        <w:gridCol w:w="109"/>
        <w:gridCol w:w="109"/>
        <w:gridCol w:w="109"/>
        <w:gridCol w:w="109"/>
        <w:gridCol w:w="109"/>
        <w:gridCol w:w="110"/>
        <w:gridCol w:w="110"/>
        <w:gridCol w:w="159"/>
      </w:tblGrid>
      <w:tr>
        <w:trPr/>
        <w:tc>
          <w:tcPr>
            <w:tcW w:w="135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924" w:type="dxa"/>
            <w:gridSpan w:val="8"/>
            <w:tcBorders/>
          </w:tcPr>
          <w:p>
            <w:pPr>
              <w:pStyle w:val="TableContents"/>
              <w:bidi w:val="0"/>
              <w:spacing w:before="0" w:after="283"/>
              <w:jc w:val="left"/>
              <w:rPr>
                <w:sz w:val="4"/>
                <w:szCs w:val="4"/>
              </w:rPr>
            </w:pPr>
            <w:r>
              <w:rPr>
                <w:sz w:val="4"/>
                <w:szCs w:val="4"/>
              </w:rPr>
            </w:r>
          </w:p>
        </w:tc>
      </w:tr>
      <w:tr>
        <w:trPr/>
        <w:tc>
          <w:tcPr>
            <w:tcW w:w="37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Change in fair value on related party convertible notes and related party loans for the three months ended March 31, 2025, represents the periodic remeasurement of these instruments at fair value. Upon IPO, these instruments were converted into equity, resulting in no further impact from fair value remeasurement in the current period. </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related party loans</w:t>
      </w:r>
    </w:p>
    <w:p>
      <w:pPr>
        <w:pStyle w:val="TextBody"/>
        <w:bidi w:val="0"/>
        <w:spacing w:before="0" w:after="0"/>
        <w:jc w:val="both"/>
        <w:rPr/>
      </w:pPr>
      <w:r>
        <w:rPr/>
      </w:r>
    </w:p>
    <w:tbl>
      <w:tblPr>
        <w:tblW w:w="9717" w:type="dxa"/>
        <w:jc w:val="left"/>
        <w:tblInd w:w="0" w:type="dxa"/>
        <w:tblLayout w:type="fixed"/>
        <w:tblCellMar>
          <w:top w:w="28" w:type="dxa"/>
          <w:left w:w="28" w:type="dxa"/>
          <w:bottom w:w="28" w:type="dxa"/>
          <w:right w:w="28" w:type="dxa"/>
        </w:tblCellMar>
      </w:tblPr>
      <w:tblGrid>
        <w:gridCol w:w="1020"/>
        <w:gridCol w:w="899"/>
        <w:gridCol w:w="901"/>
        <w:gridCol w:w="109"/>
        <w:gridCol w:w="109"/>
        <w:gridCol w:w="243"/>
        <w:gridCol w:w="243"/>
        <w:gridCol w:w="438"/>
        <w:gridCol w:w="1411"/>
        <w:gridCol w:w="243"/>
        <w:gridCol w:w="109"/>
        <w:gridCol w:w="109"/>
        <w:gridCol w:w="109"/>
        <w:gridCol w:w="196"/>
        <w:gridCol w:w="721"/>
        <w:gridCol w:w="109"/>
        <w:gridCol w:w="109"/>
        <w:gridCol w:w="109"/>
        <w:gridCol w:w="109"/>
        <w:gridCol w:w="109"/>
        <w:gridCol w:w="109"/>
        <w:gridCol w:w="196"/>
        <w:gridCol w:w="646"/>
        <w:gridCol w:w="109"/>
        <w:gridCol w:w="109"/>
        <w:gridCol w:w="109"/>
        <w:gridCol w:w="109"/>
        <w:gridCol w:w="109"/>
        <w:gridCol w:w="109"/>
        <w:gridCol w:w="203"/>
        <w:gridCol w:w="203"/>
        <w:gridCol w:w="301"/>
      </w:tblGrid>
      <w:tr>
        <w:trPr/>
        <w:tc>
          <w:tcPr>
            <w:tcW w:w="102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1252" w:type="dxa"/>
            <w:gridSpan w:val="8"/>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on related party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(3,311)</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on related party loans decreased by $10.6 million, or 76%, for the three months ended March 31, 2026, primarily due to lower average outstanding principal balances on such loans, compared with the three months ended March 31,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third party loans</w:t>
      </w:r>
    </w:p>
    <w:p>
      <w:pPr>
        <w:pStyle w:val="TextBody"/>
        <w:bidi w:val="0"/>
        <w:spacing w:before="0" w:after="0"/>
        <w:jc w:val="both"/>
        <w:rPr/>
      </w:pPr>
      <w:r>
        <w:rPr/>
      </w:r>
    </w:p>
    <w:tbl>
      <w:tblPr>
        <w:tblW w:w="9402" w:type="dxa"/>
        <w:jc w:val="left"/>
        <w:tblInd w:w="0" w:type="dxa"/>
        <w:tblLayout w:type="fixed"/>
        <w:tblCellMar>
          <w:top w:w="28" w:type="dxa"/>
          <w:left w:w="28" w:type="dxa"/>
          <w:bottom w:w="28" w:type="dxa"/>
          <w:right w:w="28" w:type="dxa"/>
        </w:tblCellMar>
      </w:tblPr>
      <w:tblGrid>
        <w:gridCol w:w="971"/>
        <w:gridCol w:w="856"/>
        <w:gridCol w:w="858"/>
        <w:gridCol w:w="109"/>
        <w:gridCol w:w="109"/>
        <w:gridCol w:w="243"/>
        <w:gridCol w:w="243"/>
        <w:gridCol w:w="438"/>
        <w:gridCol w:w="1411"/>
        <w:gridCol w:w="243"/>
        <w:gridCol w:w="109"/>
        <w:gridCol w:w="109"/>
        <w:gridCol w:w="109"/>
        <w:gridCol w:w="196"/>
        <w:gridCol w:w="631"/>
        <w:gridCol w:w="109"/>
        <w:gridCol w:w="109"/>
        <w:gridCol w:w="109"/>
        <w:gridCol w:w="109"/>
        <w:gridCol w:w="109"/>
        <w:gridCol w:w="109"/>
        <w:gridCol w:w="196"/>
        <w:gridCol w:w="556"/>
        <w:gridCol w:w="109"/>
        <w:gridCol w:w="109"/>
        <w:gridCol w:w="109"/>
        <w:gridCol w:w="109"/>
        <w:gridCol w:w="109"/>
        <w:gridCol w:w="109"/>
        <w:gridCol w:w="203"/>
        <w:gridCol w:w="203"/>
        <w:gridCol w:w="301"/>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1252" w:type="dxa"/>
            <w:gridSpan w:val="8"/>
            <w:tcBorders/>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third party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on third party loans decreased by $1.4 million, or 44%, for the three months ended March 31, 2026, compared to the three months ended March 31, 2025, primarily due to the exit of the Galaxy loan in 2025, which had incurred $3.2 million of interest expense in the prior year period. This decrease was partially offset by $1.8 million of interest expense related to the NYDIG MRA (as defined below) incurred in the current period.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funding debt</w:t>
      </w:r>
    </w:p>
    <w:tbl>
      <w:tblPr>
        <w:tblW w:w="8680" w:type="dxa"/>
        <w:jc w:val="left"/>
        <w:tblInd w:w="0" w:type="dxa"/>
        <w:tblLayout w:type="fixed"/>
        <w:tblCellMar>
          <w:top w:w="28" w:type="dxa"/>
          <w:left w:w="28" w:type="dxa"/>
          <w:bottom w:w="28" w:type="dxa"/>
          <w:right w:w="28" w:type="dxa"/>
        </w:tblCellMar>
      </w:tblPr>
      <w:tblGrid>
        <w:gridCol w:w="884"/>
        <w:gridCol w:w="779"/>
        <w:gridCol w:w="781"/>
        <w:gridCol w:w="109"/>
        <w:gridCol w:w="109"/>
        <w:gridCol w:w="243"/>
        <w:gridCol w:w="243"/>
        <w:gridCol w:w="438"/>
        <w:gridCol w:w="1411"/>
        <w:gridCol w:w="243"/>
        <w:gridCol w:w="109"/>
        <w:gridCol w:w="109"/>
        <w:gridCol w:w="109"/>
        <w:gridCol w:w="196"/>
        <w:gridCol w:w="406"/>
        <w:gridCol w:w="109"/>
        <w:gridCol w:w="109"/>
        <w:gridCol w:w="109"/>
        <w:gridCol w:w="109"/>
        <w:gridCol w:w="109"/>
        <w:gridCol w:w="109"/>
        <w:gridCol w:w="196"/>
        <w:gridCol w:w="631"/>
        <w:gridCol w:w="109"/>
        <w:gridCol w:w="109"/>
        <w:gridCol w:w="109"/>
        <w:gridCol w:w="109"/>
        <w:gridCol w:w="109"/>
        <w:gridCol w:w="109"/>
        <w:gridCol w:w="110"/>
        <w:gridCol w:w="110"/>
        <w:gridCol w:w="156"/>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921" w:type="dxa"/>
            <w:gridSpan w:val="8"/>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on funding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(2,495)</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on funding debt for the three months ended March 31, 2026 represents interest on the Ripple Credit Agreement (as defined below), a funding arrangement entered into in July 2025 to finance our credit card receivables. There was no comparable interest expense in the prior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before="0" w:after="0"/>
        <w:ind w:left="0" w:right="0" w:firstLine="720"/>
        <w:jc w:val="both"/>
        <w:rPr/>
      </w:pPr>
      <w:r>
        <w:rPr/>
      </w:r>
    </w:p>
    <w:tbl>
      <w:tblPr>
        <w:tblW w:w="9236" w:type="dxa"/>
        <w:jc w:val="left"/>
        <w:tblInd w:w="0" w:type="dxa"/>
        <w:tblLayout w:type="fixed"/>
        <w:tblCellMar>
          <w:top w:w="28" w:type="dxa"/>
          <w:left w:w="28" w:type="dxa"/>
          <w:bottom w:w="28" w:type="dxa"/>
          <w:right w:w="28" w:type="dxa"/>
        </w:tblCellMar>
      </w:tblPr>
      <w:tblGrid>
        <w:gridCol w:w="895"/>
        <w:gridCol w:w="789"/>
        <w:gridCol w:w="791"/>
        <w:gridCol w:w="109"/>
        <w:gridCol w:w="109"/>
        <w:gridCol w:w="260"/>
        <w:gridCol w:w="260"/>
        <w:gridCol w:w="468"/>
        <w:gridCol w:w="1329"/>
        <w:gridCol w:w="260"/>
        <w:gridCol w:w="109"/>
        <w:gridCol w:w="109"/>
        <w:gridCol w:w="109"/>
        <w:gridCol w:w="196"/>
        <w:gridCol w:w="556"/>
        <w:gridCol w:w="109"/>
        <w:gridCol w:w="109"/>
        <w:gridCol w:w="109"/>
        <w:gridCol w:w="109"/>
        <w:gridCol w:w="109"/>
        <w:gridCol w:w="109"/>
        <w:gridCol w:w="196"/>
        <w:gridCol w:w="631"/>
        <w:gridCol w:w="109"/>
        <w:gridCol w:w="109"/>
        <w:gridCol w:w="109"/>
        <w:gridCol w:w="109"/>
        <w:gridCol w:w="109"/>
        <w:gridCol w:w="109"/>
        <w:gridCol w:w="218"/>
        <w:gridCol w:w="218"/>
        <w:gridCol w:w="316"/>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Change</w:t>
            </w:r>
          </w:p>
        </w:tc>
        <w:tc>
          <w:tcPr>
            <w:tcW w:w="1297" w:type="dxa"/>
            <w:gridSpan w:val="8"/>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Market-driven valuation 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Market-driven valuation changes, including unrealized foreign currency translation gains and losses, gains and losses on derivatives, and changes in the fair value of strategic investments and warrants, resulted in a $1.2 million gain in the current year, compared to a $2.7 million gain the prior year. The remaining change reflects normal period-to-period variability in other operating-related items.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 (Provision)</w:t>
      </w:r>
    </w:p>
    <w:p>
      <w:pPr>
        <w:pStyle w:val="TextBody"/>
        <w:bidi w:val="0"/>
        <w:spacing w:before="0" w:after="0"/>
        <w:ind w:left="0" w:right="0" w:firstLine="504"/>
        <w:jc w:val="both"/>
        <w:rPr/>
      </w:pPr>
      <w:r>
        <w:rPr/>
      </w:r>
    </w:p>
    <w:tbl>
      <w:tblPr>
        <w:tblW w:w="6510" w:type="dxa"/>
        <w:jc w:val="center"/>
        <w:tblInd w:w="0" w:type="dxa"/>
        <w:tblLayout w:type="fixed"/>
        <w:tblCellMar>
          <w:top w:w="28" w:type="dxa"/>
          <w:left w:w="28" w:type="dxa"/>
          <w:bottom w:w="28" w:type="dxa"/>
          <w:right w:w="28" w:type="dxa"/>
        </w:tblCellMar>
      </w:tblPr>
      <w:tblGrid>
        <w:gridCol w:w="819"/>
        <w:gridCol w:w="720"/>
        <w:gridCol w:w="725"/>
        <w:gridCol w:w="109"/>
        <w:gridCol w:w="109"/>
        <w:gridCol w:w="302"/>
        <w:gridCol w:w="302"/>
        <w:gridCol w:w="544"/>
        <w:gridCol w:w="1127"/>
        <w:gridCol w:w="302"/>
        <w:gridCol w:w="109"/>
        <w:gridCol w:w="109"/>
        <w:gridCol w:w="109"/>
        <w:gridCol w:w="196"/>
        <w:gridCol w:w="556"/>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451" w:type="dxa"/>
            <w:gridSpan w:val="8"/>
            <w:tcBorders/>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Income tax provision was $21 thousand for the three months ended March 31, 2026, compared to an income tax benefit of $5.0 million for the three months ended March 31, 2025. The change was primarily attributed to an adjustment to the valuation allowance on our deferred tax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historically financed our operations primarily with cash flow from operating activities, proceeds from the private sale of equity securities, related party indebtedness from Winklevoss Capital Fund (“WCF”) denominated in bitcoin, ether, or U.S. dollars, and loan agreements with unrelated third parties. We utilize crypto assets, specifically bitcoin, as a treasury asset and given our belief that bitcoin is a better store of value and hedge against inflation than fiat, we have generally sought to incur borrowing costs in U.S. dollars rather than sell bitcoin.</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we had (i) cash and cash equivalents of $215.6 million and $252.2 million, respectively, which consisted primarily of cash and highly liquid investments with an original maturity of three months or less when purchased; (ii) restricted cash and cash equivalents of $103.7 million and $115.3 million, respectively, which consisted primarily of cash deposited into money market funds and restricted cash deposits held at financial institutions as part of our capital reserve requirements and as collateral associated with our banking partnerships and surety bonds; and (iii) customer custodial funds of $483.8 million and $527.4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million, respectively, which consisted of restricted cash and cash equivalents maintained in segregated bank accounts that are held for the exclusive benefit of users. We restrict the use of the assets underlying the customer custodial funds to meet regulatory requirements and classify the assets as current based on their purpose and availability to fulfill our direct obligation under custodial funds due to users.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Crypto assets held on our condensed consolidated balance sheets represent corporate assets that are used as part of the ordinary course of business. We use crypto assets primarily to support our core operations, facilitate the efficiency of the exchange, and as a reserve to satisfy regulatory requirements for certain subsidiaries. Uses to support core operations include receiving crypto assets as a form of payment for Transaction revenue and Services revenue. Crypto assets received as a form of payment are converted to cash or used to fulfill operating expenses, including crypto rewards. Certain crypto assets are designated to satisfy regulatory capital or reserve requirements imposed by certain jurisdictions and regulators. These assets are subject to operational and regulatory restrictions that limit their use in day-to-day business operations. Applicable regulatory frameworks require us to maintain a minimum level of assets to meet ongoing licensing and regulatory obligations and prohibit the lending, pledging, rehypothecation and encumbrance of such assets, but do not prohibit the sale thereof. As of March 31, 2026 and December 31, 2025, we held approximately $66.4 million and $237.9 million, respectively, in crypto assets for regulatory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quarter end, on May 14, 2026, we completed a $100.0 million private placement of Class A common stock with WCF, with consideration paid in Bitcoin (the "Private Placement"). For additional information, refer to our Current Report on Form 8-K, filed with the SEC on May 14, 2026. This transaction further strengthened our liquidity position and provides additional financial flexibility to support our operations and strategic initiatives. </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together with the proceeds from the Private Placement, which increased our available liquidity, the proceeds from the IPO and the anticipated cost savings and operating efficiencies resulting from our strategic initiatives, including related to the Restructuring, will be sufficient to meet our working capital and capital expenditure needs for at least the next 12 months. We continually evaluate opportunities to optimize our cost structure and capital allocation as part of normal business operations. We may also pursue financing activities from time to time to support strategic initiatives and provide additional financial flexibility. Our future capital requirements will depend on many factors, including, but not limited to, continued market acceptance of crypto assets and blockchain technology, our ability to attract and retain users on our platform, the continuing market acceptance of our products and services, and overall economic conditions. See Part II, Item 1A. “Risk Factors” included elsewhere in this Quarterly Report on Form 10-Q. To the extent that current and anticipated future sources of liquidity are insufficient to fund our future business activities and requirements, we may be required to seek additional equity or debt financing. The sale of additional equity would result in dilution to our stockholders. The incurrence of debt financing would result in debt service obligations and the instruments governing such debt could provide for covenants that would restrict our operations. In the event that additional financing is required from outside sources, there is a possibility we may not be able to raise it on terms acceptable to us or at all. If we are unable to raise additional capital when desired, our business, operating results, and financial condition could be adversely affected.</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Indebtedness and Other Funding Arrangements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Lending Agreements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entered into lending agreements with WCF to borrow ETH and BTC at loan fees between 4% and 8% per annum. As of March 31, 2026, loans in respect of 0 ETH and 3,691 BTC remained outstanding under these agreements. The purpose of these lending agreements includes meeting capital reserve requirements of regulators as well as satisfying collateral obligations under agreements with unrelated third parties. These lending agreements with WCF do not contain affirmative or negative covenants and are prepayable 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option, with no fixed maturity date. However, WCF may require repayment at any time upon written notice.</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March 5, 2026, 1,750 BTC that had previously been held as minimum regulatory capital was approved for release — as the BTC had been borrowed under an agreement with WCF and pledged for regulatory purposes, it was subsequently repaid to WCF following the approval. Subsequently, on March 18, 2026, the Company re-borrowed 822 BTC from WCF with a 4% loan fee per annum in connection with collateral and margin requirements under the NYDIG MRA (as defined below). For more information, see </w:t>
      </w:r>
      <w:r>
        <w:rPr>
          <w:rFonts w:ascii="Times New Roman;serif" w:hAnsi="Times New Roman;serif"/>
          <w:b w:val="false"/>
          <w:i/>
          <w:color w:val="000000"/>
          <w:sz w:val="20"/>
        </w:rPr>
        <w:t>Note 14. Related Party Loans and Convertible Notes</w:t>
      </w:r>
      <w:r>
        <w:rPr>
          <w:color w:val="000000"/>
        </w:rPr>
        <w:t xml:space="preserve"> </w:t>
      </w:r>
      <w:r>
        <w:rPr>
          <w:rFonts w:ascii="Times New Roman;serif" w:hAnsi="Times New Roman;serif"/>
          <w:b w:val="false"/>
          <w:color w:val="000000"/>
          <w:sz w:val="20"/>
        </w:rPr>
        <w:t xml:space="preserve">to our unaudited condensed consolidated financial statements included in Part I, Item 1 of this Quarterly Report on Form 10-Q. </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Ripple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we entered into a credit agreement with Ripple Labs Inc. (“Ripple”), an unrelated third party (the “Ripple Credit Agreement”). The Ripple Credit Agreement permits us to make lending requests, from time to time, of no less than $5.0 million each, up to an aggregate commitment amount of $75.0 million (the “Initial Commitment”), which may be increased or decreased, from time to time, subject to the attainment of certain agreed upon metrics, provided that the aggregate commitment amount does not exceed $150.0 million, prior to amendment. Once the Initial Commitment is exceeded, lending requests may be made in the form of USD-denominated Ripple Stablecoin (“RLUSD”), upon our request and Ripple’s consent. All lending requests under the Ripple Credit Agreement must be secured by collateral, bear an interest rate per annum of 6.5% and must be repaid in U.S. dollars.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we entered into an amendment to the Ripple Credit Agreement that temporarily increased the aggregate commitment to $250.0 million through July 1, 2026, increased the interest rate to 7.0%, and imposed additional collateral and operating covenants, including requirements related to holdings and activity levels of RLUSD. If outstanding borrowings are not reduced to $150.0 million or less by July 2, 2026, the interest rate will increase to 10.0% until such reduction occurs. These terms may limit the availability of borrowings under the facility and increase our cost of capital.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was a U.S. dollar denominated principal amount of approximately $140.0 million outstanding under the Ripple Credit Agreement and approximately $184.0 million of credit card receivables were pledged as collateral.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NYDIG MRA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we entered into a Master Repurchase Agreement with NYDIG Funding LLC (“NYDIG”), an unrelated third party (such Master Repurchase Agreement, the “NYDIG MRA”). The NYDIG MRA permits us to sell digital assets to NYDIG and simultaneously agree to repurchase such assets at a later date, contractually defined as June 30, 2026, and at a predetermined price. Each transaction is subject to margin requirements and other customary terms relating to events of default and remedies, as set forth in the NYDIG MRA. NYDIG may allow third parties to participate in (and in certain circumstances, may assign to such third parties) its rights and obligations under the NYDIG MRA. As of March 31, 2026, there were repurchase obligations in an aggregate U.S. dollar denominated amount of approximately $75.0 million outstanding under the NYDIG MRA, and such obligations were collateralized by digital assets with an aggregate fair market value of approximately $117.7 million.</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our consolidated cash flows for the periods</w:t>
      </w:r>
    </w:p>
    <w:p>
      <w:pPr>
        <w:pStyle w:val="TextBody"/>
        <w:bidi w:val="0"/>
        <w:spacing w:lineRule="auto" w:line="288" w:before="0" w:after="0"/>
        <w:jc w:val="both"/>
        <w:rPr/>
      </w:pPr>
      <w:r>
        <w:rPr>
          <w:rFonts w:ascii="Times New Roman;serif" w:hAnsi="Times New Roman;serif"/>
          <w:b w:val="false"/>
          <w:color w:val="000000"/>
          <w:sz w:val="20"/>
        </w:rPr>
        <w:t>presented:</w:t>
      </w:r>
      <w:r>
        <w:rPr>
          <w:color w:val="000000"/>
        </w:rPr>
        <w:t xml:space="preserve"> </w:t>
      </w:r>
    </w:p>
    <w:tbl>
      <w:tblPr>
        <w:tblW w:w="5495" w:type="dxa"/>
        <w:jc w:val="left"/>
        <w:tblInd w:w="0" w:type="dxa"/>
        <w:tblLayout w:type="fixed"/>
        <w:tblCellMar>
          <w:top w:w="28" w:type="dxa"/>
          <w:left w:w="28" w:type="dxa"/>
          <w:bottom w:w="28" w:type="dxa"/>
          <w:right w:w="28" w:type="dxa"/>
        </w:tblCellMar>
      </w:tblPr>
      <w:tblGrid>
        <w:gridCol w:w="960"/>
        <w:gridCol w:w="844"/>
        <w:gridCol w:w="850"/>
        <w:gridCol w:w="212"/>
        <w:gridCol w:w="782"/>
        <w:gridCol w:w="118"/>
        <w:gridCol w:w="118"/>
        <w:gridCol w:w="118"/>
        <w:gridCol w:w="118"/>
        <w:gridCol w:w="212"/>
        <w:gridCol w:w="782"/>
        <w:gridCol w:w="118"/>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(54,432)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(18,414)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tbl>
      <w:tblPr>
        <w:tblW w:w="8041" w:type="dxa"/>
        <w:jc w:val="left"/>
        <w:tblInd w:w="0" w:type="dxa"/>
        <w:tblLayout w:type="fixed"/>
        <w:tblCellMar>
          <w:top w:w="28" w:type="dxa"/>
          <w:left w:w="28" w:type="dxa"/>
          <w:bottom w:w="28" w:type="dxa"/>
          <w:right w:w="28" w:type="dxa"/>
        </w:tblCellMar>
      </w:tblPr>
      <w:tblGrid>
        <w:gridCol w:w="1952"/>
        <w:gridCol w:w="1720"/>
        <w:gridCol w:w="1727"/>
        <w:gridCol w:w="196"/>
        <w:gridCol w:w="721"/>
        <w:gridCol w:w="109"/>
        <w:gridCol w:w="109"/>
        <w:gridCol w:w="109"/>
        <w:gridCol w:w="109"/>
        <w:gridCol w:w="196"/>
        <w:gridCol w:w="721"/>
        <w:gridCol w:w="109"/>
        <w:gridCol w:w="109"/>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restricted cash and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includes net income (loss) adjusted for non-cash expenses and non-cash movements in crypto assets and liabilities, as well as the effect of changes in operating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$54.4 million for the three months ended March 31, 2026, driven by net loss of $109.0 million and non-cash adjustments of $62.4 million, which primarily consisted of realized and unrealized losses on crypto assets and receivable, crypto assets pledged, stock-based compensation expense, crypto asset payments for expenses, provision for transaction losses, depreciation and amortization, lease expense, impairment, partially offset by realized and unrealized gains on related party crypto loans and derivatives, and crypto assets and warrants received as revenue. Additionally, cash used in operating activities was impacted by a net inflow from changes in operating assets and liabilities of $3.6 million, driven by the timing of cash receipts and payments, and vendor payment terms. These outflows were partially offset by $11.4 million net outflow from purchases and disposals of crypto assets for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$18.4 million for the three months ended March 31, 2025, driven by net loss of $149.3 million and non-cash adjustments of $102.9 million, which primarily consisted of realized and unrealized losses on crypto assets and receivable, crypto assets pledged, fair value changes on related party convertible notes and related party loans, depreciation and amortization, crypto asset payments for expenses, provision for transaction losses, stock-based compensation and lease expense, partially offset by realized and unrealized gains on related party crypto loans and derivatives, and crypto assets received as revenue. Additionally, cash used in operating activities was impacted by a net inflow from changes in operating assets and liabilities of $1.5 million, driven by the timing of cash receipts and payments, and vendor payment terms. These outflows were partially offset by $26.5 million net inflow from purchases and disposals of crypto assets for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$22.2 million for the three months ended March 31, 2026, primarily driven by $21.3 million in net inflow for the purchases of and repayments on credit card receivables and $2.9 million in proceeds from the sale of crypto assets. This was partially offset by $2.1 million of capitalization of internally developed software costs and purchases of software, property and equipment.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$30.3 million for the three months ended March 31, 2025, primarily driven by $34.4 million in proceeds from the sale of crypto assets. This was partially offset by $2.7 million in net outflow for the purchase of and repayments on credit card receivables and $1.4 million of capitalization of internally developed software costs and purchases of software, property and equipment.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$59.5 million for the three months ended March 31, 2026, primarily driven by $435.2 million of proceeds from the Ripple Credit Agreement. These increases were partially offset by $449.3 million in repayments under the Ripple Credit Agreement, $45.1 million of net custodial funds outflows attributable to elevated customer redemptions, and $0.2 million in payments related to tax withholdings upon net settlement of equity awards.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$81.4 million for the three months ended March 31, 2025, primarily driven by $81.4 million of net outflow from custodial funds due to customers from decreased customer deposits.</w:t>
      </w:r>
    </w:p>
    <w:p>
      <w:pPr>
        <w:pStyle w:val="TextBody"/>
        <w:bidi w:val="0"/>
        <w:spacing w:before="0" w:after="0"/>
        <w:ind w:left="0" w:right="0" w:firstLine="50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material future cash commitments are to repay our current indebtedness obligations, as described above in the “Indebtedness” section, and make payments under leases for our facilities. We have operating leases for office facilities with remaining terms of two years to eight years. Many leases include one or more options to renew, but renewals are not assumed in the determination of the lease term due to uncertainty. For more information, see </w:t>
      </w:r>
      <w:r>
        <w:rPr>
          <w:rFonts w:ascii="Times New Roman;serif" w:hAnsi="Times New Roman;serif"/>
          <w:b w:val="false"/>
          <w:i/>
          <w:color w:val="000000"/>
          <w:sz w:val="20"/>
        </w:rPr>
        <w:t>Note 13. Leases</w:t>
      </w:r>
      <w:r>
        <w:rPr>
          <w:color w:val="000000"/>
        </w:rPr>
        <w:t xml:space="preserve"> </w:t>
      </w:r>
      <w:r>
        <w:rPr>
          <w:rFonts w:ascii="Times New Roman;serif" w:hAnsi="Times New Roman;serif"/>
          <w:b w:val="false"/>
          <w:color w:val="000000"/>
          <w:sz w:val="20"/>
        </w:rPr>
        <w:t xml:space="preserve">to our unaudited condensed consolidated financial statements included in Part I, Item 1 of this Quarterly Report on Form 10-Q.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agreement with WebBank, we have an outstanding commitment to purchase all Gemini Credit Card customer receivables offered for sale by WebBank. In addition, we are generally required to purchase certain other Gemini Credit Card customer receivables from WebBank in the event of identity theft or other types of fraud, as well as receivables that have been delinquent for more than 90 days.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Receivables purchased under this program are recorded on our consolidated balance sheets as Credit card receivables pledged and Accounts receivable, net. As of March 31, 2026, we had purchased $218.1 million in Gemini Credit Card customer receivables pursuant to this arrangement. Certain credit card receivables are pledged as collateral under our Ripple Credit Agreement (see </w:t>
      </w:r>
      <w:r>
        <w:rPr>
          <w:color w:val="000000"/>
        </w:rPr>
        <w:t>“</w:t>
      </w:r>
      <w:r>
        <w:rPr>
          <w:rFonts w:ascii="Times New Roman;serif" w:hAnsi="Times New Roman;serif"/>
          <w:b w:val="false"/>
          <w:i/>
          <w:color w:val="000000"/>
          <w:sz w:val="20"/>
        </w:rPr>
        <w:t>Indebtedness and Other Funding Arrangements—Ripple Credit Agreement”</w:t>
      </w:r>
      <w:r>
        <w:rPr>
          <w:rFonts w:ascii="Times New Roman;serif" w:hAnsi="Times New Roman;serif"/>
          <w:b w:val="false"/>
          <w:color w:val="000000"/>
          <w:sz w:val="20"/>
        </w:rPr>
        <w:t>). As of March 31, 2026 and December 31, 2025, the carrying value of pledged credit card receivables was $184.0 million and $188.8 million,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agreement creates an ongoing commitment to purchase future receivables as they are originated. The amount of future purchases will vary based on credit card usage and customer activity. We maintain sufficient cash on hand to fund these payments as they become due.</w:t>
      </w:r>
    </w:p>
    <w:p>
      <w:pPr>
        <w:pStyle w:val="TextBody"/>
        <w:bidi w:val="0"/>
        <w:spacing w:before="0" w:after="0"/>
        <w:ind w:left="0" w:right="0" w:firstLine="50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are based on our unaudited consolidated financial statements and the related notes, which have been prepared in accordance with GAAP. The preparation of financial statements in conformity with GAAP requires us to make estimates and assumptions that affect the reported amounts of assets and liabilities as of the balance sheet date, as well as report amounts of revenue and expenses during the period. We base our estimates on historical experience, known trends and events, and various other assumptions that we believe to be reasonable under the circumstances. Actual results and outcomes may differ from management’s estimates and assumptions due to risks and uncertainties. To the extent there are differences between our estimates and actual results, our future financial statement presentation, financial condition, operating results, and cash flows will be affected.</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pPr>
      <w:r>
        <w:rPr>
          <w:rFonts w:ascii="Times New Roman;serif" w:hAnsi="Times New Roman;serif"/>
          <w:b w:val="false"/>
          <w:color w:val="000000"/>
          <w:sz w:val="20"/>
        </w:rPr>
        <w:t xml:space="preserve">There have been no material changes to our critical accounting estimates as compared to the critical accounting estimates disclosed in our Annual Report on Form 10-K which was filed with the Securities and Exchange Commission (the “SEC”) on March 31, 2026. Our significant accounting policies are more fully described in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to our unaudited condensed consolidated financial statements included in Part I, Item 1 of this Quarterly Report on Form 10-Q.</w:t>
      </w:r>
    </w:p>
    <w:p>
      <w:pPr>
        <w:pStyle w:val="TextBody"/>
        <w:bidi w:val="0"/>
        <w:spacing w:before="0" w:after="0"/>
        <w:ind w:left="0" w:right="0" w:firstLine="50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to our unaudited condensed consolidated financial statements included in Part I, Item 1 of this Quarterly Report on Form 10-Q for a discussion about new accounting pronouncements adopted and not yet adopted as of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Market risk is the risk to our financial statements associated with the effect of changes in market factors, including the following.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risk primarily through our credit card receivables and our fixed-rate borrowing facilities.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earn interest income on outstanding credit card balances at rates indexed to the prime rate plus a spread. These receivables bear floating interest rates that adjust immediately with changes in the prime rate. A 100 basis point increase (decrease) in the prime rate would result in an increase (decrease) of approximately $1.5 million in annual interest income based on average credit card balances outstanding during the three months ended March 31,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funding facilities bear interest at fixed rates with terms ranging from less than one year to two years. As of March 31, 2026, we had $215.0 million in outstanding principal borrowings under these facilities at a weighted average interest rate of 7.5%. While the fixed-rate nature of these borrowings limits our exposure to interest rate volatility during the term of the facilities, we are exposed to repricing risk upon maturity or refinancing. If interest rates increase prior to maturity or refinancing, our interest expense would increase upon entering into new or replacement financing arrangements.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 short-term nature of the cash and cash equivalent holdings against our GUSD reserve and against custodial USD balances, we do not believe we have material exposure to interest rate risk from these investments.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Digital Assets Risks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digital asset prices impact our operations through unrealized gains and losses on digital assets inventory held. As of March 31, 2026 and December 31, 2025, unencumbered digital assets had an aggregate fair value of $20.2 million and $37.1 million, respectively, representing 1% and 2% of our total assets, respectively. A hypothetical 50% increase or decrease in digital assets prices as of March 31, 2026 and December 31, 2025 would result in a $10.1 million and $18.6 million impact, respectively, to the value of our unencumbered Crypto assets held.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digital asset-denominated liabilities, including borrowings from related parties that are collateralized by digital assets. While the principal amounts of these liabilities are substantially matched by corresponding digital asset holdings on our balance sheet, limiting our net exposure to digital asset price risk on principal balances, the interest expense on our related party digital asset borrowings is payable in U.S. dollars. As a result, appreciation in digital asset prices increases our interest expense in digital asset terms, while depreciation in digital asset prices decreases our interest expense in digital asset terms, creating additional exposure to digital asset price volatility.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Decreases in digital asset prices may have an adverse impact on operating results. Certain transaction revenues are generated in digital assets and accordingly, decreases in digital asset prices would reduce the U.S. dollar value of such revenues when converted. Additionally, significant declines in digital asset prices have historically correlated with reduced market sentiment and trading activity, which could result in lower transaction volumes and associated revenues on our platform.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repurchase agreement with NYDIG is collateralized by bitcoin holdings. Material declines in bitcoin prices may trigger margin calls, requiring us to post additional collateral or repay outstanding amounts, which could create liquidity demands and impact our 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expenses, and financial results of our foreign subsidiaries are recorded in the functional currencies of these subsidiaries. Historically, our primary foreign currency exposures have been to the Singaporean Dollar (“SGD”) and British Pound (“GBP”). Following the announcement in February 2026 of our plan to exit and wind down operations in the United Kingdom and certain other international markets, we expect our exposure to GBP-denominated revenues and expenses to decrease over time. Our remaining foreign currency exposure is primarily related to SGD-denominated operations. Our foreign currency exposure arises from: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Foreign currency transaction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international subsidiaries operate at a loss, with foreign currency-denominated expenses exceeding those of local foreign-denominated revenues. As a result, appreciation of foreign currencies relative to the U.S. dollar may negatively affect our results of operations as expressed in U.S. dollars.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Foreign currency translation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working capital in our foreign subsidiaries. Additionally, we maintain a modest inventory of foreign currencies resulting from net client trading activity. Changes in foreign exchange rates result in translation gains or losses when these balances are translated to U.S. dollars for consolidation purposes. We hold cash and digital assets denominated in foreign currencies on behalf of customers. These custodial assets are matched by corresponding custodial liabilities denominated in the same currencies, resulting in minimal net foreign currency exposure from these balances.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Interim Chief Financial Officer, has evaluated the effectiveness of our disclosure controls and procedures (as defined in Rules 13a-15(e) and 15d- 15(e) under the Securities Exchange Act of 1934, as amended, or the Exchange Act), as of the end of the period covered by this Quarterly Report on Form 10-Q. Based on such evaluation, our Chief Executive Officer and Interim Chief Financial Officer have concluded that as of such date, our disclosure controls and procedures were not effective at the reasonable assurance level due to the material weaknesses in our internal control over financial reporting previously identified and disclosed in the Company’s final prospectus, dated September 11, 2025, filed with the SEC pursuant to Rule 424(b)(4) under the Securities Act of 1933, as amended, in connection with the IPO (the "Prospectus").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ineffective disclosure controls and procedures as a result of the previously identified material weaknesses that we are currently taking actions to remediate, our Chief Executive Officer and Interim Chief Financial Officer have concluded that the unaudited condensed consolidated financial statements included in this Quarterly Report on Form 10-Q present fairly, in all material respects, the Company's financial position, results of operations and cash flows in accordance with U.S. GAAP.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Previously Reported Material Weaknesses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As previously disclosed in the Prospectus, we identified material weaknesses in our internal control over financial reporting as follows: (i) we did not maintain an effective control environment in that a sufficient number of personnel were not available to support an effective financial close process in a timely manner; (ii) we did not maintain an effective risk assessment process, which led to some improperly designed controls; (iii) we did not establish, thoroughly communicate, and monitor certain control processes and relevant accounting policies and procedures; (iv) controls over the digital asset reconciliation between our internal ledger and the public blockchain to address the existence, recording, and safeguarding of digital assets were not effectively designed and implemented and, therefore, did not operate effectively; and (v) we did not properly design and implement controls over the launch of new products, including controls over the reconciliation of digital assets held in corporate accounts and on behalf of customers. We have concluded that these material weaknesses existed because, as a private company, we did not have the necessary business processes, systems, personnel, and related internal controls necessary to satisfy the accounting and financial reporting requirements of a public company. The foregoing deficiencies identified did not result in a material misstatement to our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Remediation Efforts to Address Previously Identified Material Weaknesses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taken and will continue to take actions to remediate these material weaknesses, including hiring additional accounting and finance personnel with financial accounting, stock-based compensation, tax, and reporting expertise; increasing training and education in accounting and reporting requirements for a public company; designing and implementing processes, tools and internal controls over the financial statement close process; strengthening internal controls to align with the Committee of Sponsoring Organizations ("COSO") of the Treadway Commission framework and Internal Control over Financial Reporting standards; enhancing the review of journal entries and account reconciliations, including digital asset reconciliations; and retaining the services of third-party consultants to supplement our technical competencies and expertise. The remediation actions that we are taking are subject to ongoing senior management overview, as well as oversight by the Audit and Risk Committee of our board of directors.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above, we are implementing our remediation plan related to identified material weaknesses. Except as discussed above, there were no changes to our internal control over financial reporting (as such term is defined in Rules 13a-15(f) and 15d-15(f) under the Exchange Act) that occurred during the most recently completed fiscal quarter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Interim Chief Financial Officer, does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From time to time, we may be subject to various legal proceedings and claims that arise in the ordinary course of our business activities. The results of litigation and claims cannot be predicted with certainty. Refer to “</w:t>
      </w:r>
      <w:r>
        <w:rPr>
          <w:rFonts w:ascii="Times New Roman;serif" w:hAnsi="Times New Roman;serif"/>
          <w:b w:val="false"/>
          <w:i/>
          <w:color w:val="000000"/>
          <w:sz w:val="20"/>
        </w:rPr>
        <w:t>Risk Factors—Risks Relating to our Business and Industry—We are, and may continue to be, 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22. Commitments and Contingencie</w:t>
      </w:r>
      <w:r>
        <w:rPr>
          <w:rFonts w:ascii="Times New Roman;serif" w:hAnsi="Times New Roman;serif"/>
          <w:b w:val="false"/>
          <w:color w:val="000000"/>
          <w:sz w:val="20"/>
        </w:rPr>
        <w:t xml:space="preserve">s and </w:t>
      </w:r>
      <w:r>
        <w:rPr>
          <w:rFonts w:ascii="Times New Roman;serif" w:hAnsi="Times New Roman;serif"/>
          <w:b w:val="false"/>
          <w:i/>
          <w:color w:val="000000"/>
          <w:sz w:val="20"/>
        </w:rPr>
        <w:t>Note 23. Subsequent Events</w:t>
      </w:r>
      <w:r>
        <w:rPr>
          <w:color w:val="000000"/>
        </w:rPr>
        <w:t xml:space="preserve"> </w:t>
      </w:r>
      <w:r>
        <w:rPr>
          <w:rFonts w:ascii="Times New Roman;serif" w:hAnsi="Times New Roman;serif"/>
          <w:b w:val="false"/>
          <w:color w:val="000000"/>
          <w:sz w:val="20"/>
        </w:rPr>
        <w:t>to our unaudited condensed consolidated financial statements included elsewhere in this Quarterly Report on Form 10-Q for a description of material legal proceedings to which we are a party.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An investment in our Class A common stock involves a high degree of risk. You should consider carefully the following risks, together with the financial and other information contained in this Quarterly Report on Form 10-Q, before you decide to purchase our Class A common stock. If any of the following risks or uncertainties actually occurs, our business, operating results, and financial condition could be materially and adversely affected. In that case, the market price of our Class A common stock could decline and you may lose all or a part of your investment. The risks discussed below are not exhaustive; additional risks or uncertainties not currently known to us, or that we currently deem immaterial, may also have a material adverse effect on our business, operating results, and financial condition. We cannot assure you that any of the events discussed below will not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 length below. These risks include, among others, the following:</w:t>
      </w:r>
    </w:p>
    <w:p>
      <w:pPr>
        <w:pStyle w:val="TextBody"/>
        <w:bidi w:val="0"/>
        <w:spacing w:before="0" w:after="0"/>
        <w:jc w:val="both"/>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slowing or stopping of the development or acceptance of blockchain networks and blockchain-based assets could have a material adverse effect on the successful development and adoption of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future development and growth of the digital asset industry is subject to a variety of factors that are difficult to predict and evaluate.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operating results have and will significantly fluctuate, due to inherent volatility associated with the digital asset industry including, but not limited to, the price of digital assets, regulatory scrutiny of certain digital assets or related products or services, or changes in applicable laws. Our total revenue is substantially dependent on the volume of digital asset transactions conducted on our platform, which is in turn significantly affected by the prices of digital assets. If such prices or volumes decline, our business, operating results, and financial condition would be adversely affected and the price of our Class A common stock could decline.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net revenue is concentrated in a limited number of areas. For our digital asset exchanges, meaningful concentration of our revenue is from transactions in bitcoin, ether and solana. If revenue from these areas declines and is not replaced by new trading in other digital assets or demand for other products and services, our business, operating results, and financial condition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failure to safeguard and manage our and our users’ fiat currencies and digital assets could adversely impact our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significant disruption in our products and services, in our information technology systems, or in any of the blockchain networks we support, could result in a loss of users or funds and adversely impact our brand and reputation and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operate in a highly competitive industry and we compete against unregulated or less regulated companies. We also face competition from DEXs and DAOs, which may be able to innovate faster and offer products and services that we do not offer. We also compete against companies with greater financial and other resources. Our business, operating results, and financial condition may be adversely affected if we are unable to respond to competition effectively.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cannot keep pace with rapid industry changes to provide new and innovative products and services, the use of our products and services, and consequently our net revenue, could decline, which could adversely impact our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particular digital asset, digital asset transaction, or product or service offering’s status as a security or sold as part of a securities transaction in any relevant jurisdiction is subject to a high degree of uncertainty. If we incorrectly conclude that a digital asset, digital asset transaction, or product or service offering is not offered or sold as a security or securities transaction, we may be subject to regulatory scrutiny, inquiries, investigations, fines, and other penalties, which may adversely affect our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can be no assurance that Gemini Predictions will gain sufficient user adoption or market share, and there is no guarantee that it will generate meaningful revenue for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and may continue to be, 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slowing or stopping of the development or acceptance of blockchain networks and blockchain-based assets could have a material adverse effect on the successful development and adoption of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depends on the continued growth, development, and acceptance of blockchain networks, digital assets, and related technologies, which are subject to a high degree of uncertainty. Key factors influencing the further development of blockchain networks and digital assets include the global adoption of digital assets and blockchain technology; regulatory and quasi-government restrictions on access to and operation of blockchain networks; and the maintenance of open source protocols that support blockchain networks. Additional factors, such as shifts in consumer demographics and public preferences, the availability of alternative transaction methods, the potentially speculative nature of digital assets, and economic conditions domestically and globally, also contribute to this uncertainty. If blockchain adoption, acceptance, or functionality slows, halts, or changes in a way that diminishes our ability to grow our exchange and custody businesses, our financial condition and growth prospects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future development and growth of the digital asset industry is subject to a variety of factors that are difficult to predict and evaluate.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market for digital assets declines or does not grow as we expect in terms of value, volume, or demand, our business, operating results, and financial condition could be materially adversely affected. Further, the future growth and development of the digital asset ecosystem is uncertain. Blockchain technology, digital assets, smart contracts, dApps, and DeFi are components of a new and evolving paradigm that is subject to a variety of factors that are difficult to evaluate, including: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extreme price volatility or “black swan” events (i.e., highly improbable, unexpected occurrences with significant consequences that are extremely difficult to predict beforehand) with respect to different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blockchain networks have limited operating histories and are still in the process of development, which will affect the design, supply, issuance, functionality, and governance of their respective digital assets and underlying blockchain networks. Any of these factors could adversely affect their respective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blockchain networks are in the process of implementing software upgrades and other changes to their protocols, which could introduce bugs, security risks, and adversely affect the associated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technical issues, such as bugs or vulnerabilities in protocols, have led to disabled functionalities, exposure of personal information, and theft of users’ assets. These issues often require resolution by global miner, user, and developer communities, and their recurrence could undermine trust in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 respect to hardware used in connection with wallets and blockchain networks generally, there are risks related to technological obsolescence, the vulnerability of the global supply chain and difficulty in obtaining new hardware;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several large networks, including Bitcoin, Ethereum, and Solana, are developing new features to address fundamental speed, scalability, and energy usage issues. If these issues are not successfully addressed or are unable to achieve widespread adoption, they could adversely affect the underlying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digital assets and their underlying blockchain networks have identified security issues, bugs, and software errors, some of which have been exploited by malicious actors. There are also inherent security weaknesses in some digital assets, e.g., when creators of certain blockchain networks use procedures which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these computers) obtains a majority of the compute or staking power on a blockchain network, the actor or botnet might be able to manipulate transactions, which could cause significant financial losses to holders, damage the network’s reputation and security, and adversely affect its value;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development of new technologies for mining, such as improved application-specific integrated circuits, and changes in industry patterns such as the consolidation of mining power in a small number of large mining farms, could reduce the security of blockchain networks, lead to increased liquid supply of digital assets, and reduce a digital asset’s price and attractiveness;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rewards and transaction fees for miners or validators on any particular blockchain network are not sufficiently high to attract and retain miners or validators, a digital asset’s network’s security and speed may be adversely affected, increasing the likelihood of a malicious attack;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digital assets have concentrated ownership or an admin key, allowing a small group of holders to have significant unilateral control and influence over key decisions related to their blockchain networks or protocols, such as governance decisions and protocol changes, as well as the market price of such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governance of many decentralized blockchain networks and protocols is by voluntary consensus and open competition, and many developers are not directly compensated for their contributions. As a result, there may be a lack of consensus or clarity on the governance of any particular blockchain network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protocol, a lack of incentives for developers to maintain or develop the network or protocol, and other unforeseen issues, any of which could result in unexpected or undesirable errors, bugs, or changes, or stymie such network or protocol’s utility and ability to respond to challenges and grow;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blockchain networks and protocols are in the early stages of developing partnerships and collaborations, any one or more of which may not succeed and adversely affect the usability and adoption of their respective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digital assets have only recently become selectively accepted as a means of payment by retail and commercial outlets and use of digital assets by consumers to pay such retail and commercial outlets remains limited. Banks and other established financial institutions may refuse to (i) process funds for digital asset transactions; (ii) process wire transfers to or from digital asset exchanges, digital asset-related companies, and service providers; or (iii) maintain accounts for persons or entities transacting in crypto assets. As a result, the prices of various digital assets are largely determined by speculators, miners and validators, thus contributing to price volatility which makes retailers less likely to accept digital assets as a form of payment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banks may not provide or may cut off banking services to businesses that provide digital asset-related services or that accept digital assets as payment, which could harm our banking infrastructure, limit us from operating in certain jurisdictions or limit product or service offerings, dampen liquidity in the market, and damage public perception of digital assets generally or any one digital asset in particular (such as bitcoin) and their or our utility as a payment system. These actions could decrease the price of crypto assets generally or individually;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is a lack of liquid markets in certain digital assets, and these markets are subject to possible manipulation;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digital assets have concentrated ownerships, and large sales or distributions by holders of such digital assets, or “whales,” could have an adverse effect on the market price of such digital assets;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characteristics of digital assets have been, and may in the future continue to be, exploited to facilitate illegal activity such as fraud, money laundering, tax evasion, and ransomware scams.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Acceptance and/or widespread use of digital assets is uncertain and the prices of digital assets can be extremely volatile. For example, since 2023, the trading price of bitcoin has fluctuated from a low of approximately $16,000 to highs above $120,000. Our revenue is substantially dependent on the prices of digital assets and volume of digital asset transactions conducted on our platform. If such price or volume declines, this would materially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operating results have and will significantly fluctuate, due to inherent volatility associated with the digital asset industry including, but not limited to, the price of digital assets, regulatory scrutiny of certain digital assets or related products and services, or changes in applicable laws.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results are dependent on digital assets and the broader digital asset industry. Due to the highly volatile nature of the digital asset industry and the prices of digital assets, which have experienced and continue to experience significant volatility, our operating results have, and will continue to, fluctuate significantly from quarter to quarter in accordance with market sentiments and movements in the broader digital asset industry. Our operating results will continue to fluctuate significantly as a result of a variety of factors, many of which are unpredictable and in certain instances are outside of our control, including: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offerings that are, in turn, dependent on digital asset trading activity, including trading volume and the prevailing trading prices for digital assets, whose trading prices and volume can be highly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maintain, and grow our user base and engage our users;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legislative or regulatory environment, or actions by U.S. or foreign governments or regulators, including fines, orders, or consent decrees;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changes or scrutiny that impact our ability to offer certain products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regulatory certainty, which could lead to greater competition from traditional financial services firms and other competitors with broader access to financial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continue to diversify and grow our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pricing for or temporary suspensions of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investments we make in the development of products and services, as well as international expansion, and sales and marketing;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adding digital assets to, or removing them from, our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establish and maintain partnerships, collaborations, joint ventures, or strategic alliances with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conditions of, and overall sentiment towards,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macroeconomic conditions, including interest rates, inflation, and instability in the global banking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settlements, or other legal proceeding and enforcement-related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development and introduction of existing and new products and services by us or our competitors or the emergence of new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control costs, including operating expenses incurred to grow and expand our operations and remain competitive;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system failure, outages, or interruptions, including with respect to our digital asset platform and third-party digital asset networks, which have occurred in the past and will likely occur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lack of control over decentralized or third-party blockchains and networks that may experience downtime, cyberattacks, critical failures, errors, bugs, corrupted files, data losses, or other similar software failures, outages, breaches, and losses;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breaches of security or privacy;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real or perceived improper or unauthorized use of, disclosure of, or access to confidential, proprietary, personal, or sensitive data;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and retain talent.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these factors, it is difficult for us to forecast growth trends accurately and our business and future prospects are difficult to evaluate. In view of the rapidly evolving nature of our business and the digital asset industry, period-to-period comparisons of our operating results may not be meaningful, and you should not rely upon them as an indication of future performance. Quarterly and annual expenses reflected in our financial statements may vary significantly from historical or projected rates and our operating results in one or more future quarters may fall below the expectations of securities analysts and investors. As a result, the trading price of our Class A common stock may be volatile.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total revenue is substantially dependent on the volume of digital asset transactions conducted on our platform, which is in turn significantly affected by the prices of digital assets. If such prices or volumes decline, our business, operating results, and financial condition would be adversely affected and the price of our Class A common stock could decline.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a large portion of our total revenue from transaction fees on our platform in connection with the purchase, sale, and trading of digital assets by our users. The transaction price, represented by the trading fee, varies depending on the value of the transaction and/or the user’s transaction volume processed over the previous thirty-day period. Instant orders also incur a convenience fee that is typically calculated above the market price. Declines in the volume of digital asset transactions, the price of digital assets, or market liquidity for digital assets generally may result in lower total revenue to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price of digital assets and associated demand for buying, selling, and trading digital assets have historically been subject to significant volatility. For instance, in 2017, the value of certain digital assets, including bitcoin, experienced steep increases in value, and our user base expanded worldwide. Value increases of certain digital assets, including bitcoin, from 2016 to 2017, and then again in 2021, were followed by a steep decline in 2018 and again in 2022, which adversely affected our net revenue and operating results. While the value of digital assets, including bitcoin, increased significantly in 2024 and 2025, they have decreased in value in early 2026 and if the value of digital assets and transaction volume continue to decline, our ability to generate revenue may suffer and user demand for our products and services may decline. These factors could adversely affect our business, operating results, and financial condition and cause the price of our Class A common stock to decline. The price and trading volume of any digital asset is subject to significant uncertainty and volatility, depending on a number of factors,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conditions of, and overall sentiment towards, digital assets and the digital asset industry, including, but not limited to, as a result of actions taken by or developments of other participants in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liquidity, market-making volume, and trading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trading activities on other digital asset platforms worldwide, including platforms that may be impacted by manipulative trading activity;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investment and trading activities of highly active consumer and institutional users, speculators, miners, validators, and investors;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speed and rate at which digital assets are able to gain adoption as a medium of exchange, utility, store of value, consumptive asset, security instrument, or other financial assets worldwide, if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or inability of the digital asset industry to develop and commercialize profitable near-term use cases for digital assets and blockchain technology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decreased user and investor confidence in digital assets and crypto platforms;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negative publicity and events relating to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unpredictable social media coverage or “trending” of digital assets, or other rumors and market speculation regarding digital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functionality and utility of digital assets and their associated ecosystems and networks, including digital assets designed for use in various applications;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consumer preferences and perceived value of digital assets and digital asset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competition from other payment services or other digital assets that exhibit better speed, security, scalability, or other characteristics;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or settlements impacting digital asset industry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or legislative changes, including a change in sentiment towards, and scrutiny and updates affecting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characterization of digital assets under the laws of various jurisdictions around the world, some of which could require technical modifications to our platform that would be difficult and time consuming to complete;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adoption of unfavorable taxation policies on digital asset investments by governmental entities;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maintenance, troubleshooting, and development of blockchain networks and associated digital assets, including by miners, validators, and developers worldwide;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for blockchain networks to attract and retain miners or validators to secure and confirm transactions accurately and efficiently;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legal and regulatory changes affecting the operations of miners and validators of blockchain networks, including limitations and prohibitions on mining activities, or new legislative or regulatory requirements as a result of growing environmental concerns around the use of energy in Bitcoin and other proof-of-work mining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ongoing technological viability and security of digital assets and their associated smart contracts, applications, and networks, including vulnerabilities against hacks and scalability;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fees and speed associated with processing digital asset transactions, including on the underlying blockchain networks and on digital asset platforms;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financial strength of market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and cost of funding and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liquidity and credit risk of other digital asset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interruptions or temporary suspensions or other compulsory restrictions in products or services from or failures of major digital asset platforms;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an active derivatives market for various digital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banking and payment services to support digital asset-related projects;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instability in the global banking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level of interest rates and inflation;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monetary policies of governments, trade restrictions, and fiat currency devaluations;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national and international economic and political conditions.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no assurance that any supported digital asset will maintain its value or that there will be meaningful levels of trading activities. In the event that the price of digital assets or the demand for trading digital assets declines, our business, operating results, and financial condition would be adversely affected and the price of our Class A common stock could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net revenue is concentrated in a limited number of areas. For our digital asset exchanges, a meaningful concentration of our revenue is from transactions in bitcoin, ether and solana. If revenue from these areas declines and is not replaced by new trading in other digital assets or demand for other products and services,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revenue is concentrated in a limited number of areas, such as transactions in bitcoin, ether, and solana. During 2022 and 2023, the value of bitcoin, ether, solana, and other digital assets declined steeply. While the value of many digital assets recovered and reached record highs in 2024 and 2025, the prices of digital assets have generally decreased in early 2026 and, if the value of these digital assets continues to decrease, or does not increase again in the future, our business and operating results could be adversely affected. As such, in addition to the factors impacting the broader digital asset industry described in this section, our revenue may be adversely affected if the markets for bitcoin, ether, and solana deteriorate or if their prices decline, including because of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reduction in mining rewards of Bitcoin, including block reward halving events, which are events that occur after a specific period of time and reduces the block reward earned by miners;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public sentiment related to the actual or perceived environmental impact of blockchain technology and related activities, including environmental concerns raised by private individuals and governmental actors related to the energy resources consumed in the Bitcoin mining process;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migration of Ethereum to a proof-of-stake consensus mechanism;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disruptions, hacks, splits in the underlying networks also known as forks, attacks by malicious actors who control a significant portion of the networks’ hash rate through double spend or 51% attacks, and similar incidents affecting the Bitcoin, Ethereum, or Solana blockchain networks;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hard forks resulting in the creation of and divergence into multiple separate networks, such as Bitcoin Cash and Ethereum Classic;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informal governance led by Bitcoin, Ethereum, and Solana’s core developers that leads to revisions to the underlying source code or inactions that prevent network scaling, and which evolves over time largely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self-determined participation, which may result in new changes or updates that affect their speed, security, usability, or value;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for Bitcoin, Ethereum, and Solana’s blockchain networks to resolve significant scaling challenges and increase the volume and speed of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transaction congestion and fees associated with processing transactions on the Bitcoin, Ethereum, and Solana networks;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identification of Satoshi Nakamoto, the pseudonymous person or persons who developed Bitcoin, or the transfer of Satoshi’s bitcoin;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negative perception of Bitcoin, Ethereum, and Solana;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developments in mathematics, technology, digital computing, algebraic geometry, and quantum computing that could result in the cryptography which is used by Bitcoin, Ethereum, and Solana becoming insecure or ineffective;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or settlements impacting digital asset industry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legislative, or other compulsory or informal restrictions or limitations on Bitcoin, Ethereum, and Solana lending, mining, or staking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liquidity and credit risk issues experienced by other digital asset platforms and other participants of the digital asset industry;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laws and regulations affecting the Bitcoin, Ethereum, and Solana networks or access to these networks, including a determination that either Bitcoin, Ethereum, or Solana constitutes a security or other regulated financial instrument under the laws of any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significant amount of the trading volume on our platform is derived from a relatively small number of institutional market makers, and the loss of these market makers, or a reduction in their trading volume, could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relatively small number of institutional market makers have historically accounted for around half of the total trading volume on our platform. We expect significant trading volume and net revenue attributable to these market makers for the foreseeable future. As a result, while our business is not materially dependent on any single user, a loss of these market makers, or a reduction in their trading volume, and our inability to replace them, could have an adverse effect on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operating expenses may increase in the future, and absent corresponding revenues we may not be able to achieve profitability or positive cash flow from operations, which may cause our business, operating results, and financial condition to be adversely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may increase in the future as we continue to attract and retain talent, expand our sales and marketing efforts, develop additional products and services, expand our international business, and incur regulatory or compliance expenses. While we consistently evaluate opportunities to drive efficiency, we cannot guarantee that these efforts will be successful. Our operations may prove more expensive than we currently anticipate, and we may not succeed in increasing our net revenue sufficiently to offset these higher expenses. Our revenue growth may be further impacted by reduced demand for our offerings, increased competition,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macroeconomic conditions, a decrease in the growth or size of the digital asset industry, regulatory uncertainty or scrutiny, or changes that impact our ability to offer certain products or services, any failure to capitalize on growth opportunities, or failure of new products and services we develop to gain traction in the market. We cannot be certain that we will be able to achieve profitability or achieve positive operating cash flow in any period. If we are unable to effectively manage these risks and difficulties as we encounter them, our business, operating results, and financial condition may suffer.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Adverse economic conditions may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performance is subject to general economic conditions, and their effects on the digital asset markets and our users. The United States and other key international economies have periodically experienced cyclical downturns in which economic activity declined resulting in lower consumption rates, restricted credit, reduced profitability, weaknesses in financial markets, bankruptcies, and overall heightened economic uncertainty. Adverse general economic conditions have impacted digital assets, although the extent of which remains uncertain and dependent on a variety of factors, including market adoption of digital assets, global trends in the digital asset industry, central bank monetary policies, instability in the global banking system, and other events beyond our control. Geopolitical developments, such as trade wars and foreign exchange limitations, can also increase the severity and levels of unpredictability globally and increase the volatility of global financial and digital asset markets. For example, capital and credit markets have experienced extreme volatility and disruptions in the past, leading to significant declines in the value of digital assets. To the extent general economic conditions and digital assets markets materially deteriorate or the current decline continues for a prolonged period, our ability to generate revenue and to attract and retain users could suffer and our business, operating results, and financial condition could be adversely affected. Moreover, even if general economic conditions improve, there is no guarantee that the digital asset industry will similarly improve.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in 2022, several blockchain protocols and digital asset financial firms, and in particular protocols and firms involving high levels of financial leverage such as high-yield lending products or derivatives trading, suffered from insolvency and liquidity crises, including FTX, Celsius Networks, Voyager, and Three Arrows Capital. Some of these failures are alleged or have been held to be the result of fraudulent activity by insiders, including misappropriation of user funds, illicit activity, and failures in internal controls. In connection with these incidents, concerns were raised about the potential for a market condition where the failure of one company leads to the financial distress of other companies. If such a market condition were to become widespread in the digital asset industry, we could suffer from increased counterparty risk, including defaults or bankruptcies of major users or counterparties, which could lead to significantly reduced activity on our platform and fewer available digital asset market opportunities in general. Further, forced selling of digital assets by distressed companies could lead to lower digital asset prices and may lead to a reduction in our revenue. To the extent that conditions in the general economic and digital asset markets were to materially deteriorate, our ability to attract and retain users may suffer.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regarding such events or other similar risks, have in the past and may in the future lead to market-wide liquidity problems. For example, in March 2023, Silvergate Capital Corp. announced it would wind down operations and liquidate Silvergate Bank. Soon after, the Federal Deposit Insurance Corporation was appointed as receiver for Silicon Valley Bank and Signature Bank. As a result of these developments and related issues with other financial institutions, the prices of fiat-backed stablecoins were temporarily impacted and may be similarly impacted again in the future. Instability in the global banking system could have negative ramifications, such as additional market-wide liquidity problems or impacted access to deposits and investments for users of affected banks and certain banking partners. Our business, operating results, and financial condition could be adversely affected as a result.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our credit card business, economic downturns may negatively affect our cardholders’ ability to repay outstanding debt, leading to increased delinquency and default rates. During periods of economic stress, such as recessions or rising unemployment, cardholders may face reduced income or financial instability, impairing their ability to meet payment obligations. Higher delinquency rates can result in increased credit losses and may require us to increase our loan loss reserves, which could adversely affect our profitability. Additionally, prolonged economic hardship may limit our ability to recover on charged-off accounts, further impacting financial performance. These factors could significantly impact our credit card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Fluctuations in currency exchange rates could harm our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generated and expenses incurred from our international operations are often denominated in the currencies of the local countries. Accordingly, changes in the value of foreign currencies relative to the U.S. dollar can affect our operating results reflected in our U.S. dollar-denominated financial statements. Our financial results are also subject to changes in exchange rates that impact the settlement of transactions in non-functional currencies. As a result, it could be more difficult to detect underlying trends in our business and operating results. To the extent that fluctuations in currency exchange rates cause our operating results to differ from expectations of investors, the market price of our Class A common stock could be adversely impacted. From time to time, we may engage in currency hedging activities to limit the risk of foreign currency exchange rate fluctuations. To the extent we use hedging instruments to hedge exposure to fluctuations in foreign currency exchange rates, the use of such hedging instruments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fluctuations could negatively impact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level of prevailing short-term interest rates affects our profitability because we derive a portion of our revenue from interest earned from funds deposited with us by our users which we hold on their behalf in custodial accounts at banks and from stablecoin revenue, which is derived from interest earned on GUSD reserve balances. Higher interest rates increase the amount of interest income and stablecoin revenue earned from these activities. When short-term interest rates decline, our revenue derived from interest correspondingly declines, which negatively impacts our profitability. Further, if interest rates were to significantly decline from levels reached in the recent interest rate environment, our net revenue could decline. Conversely, when interest rates increase, investors may choose to shift their asset allocations, which could negatively impact our stock price or the digital asset industry more generally.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Rising interest rates may also materially and adversely impact our credit card program by impacting cardholders’ ability to repay outstanding balances, leading to higher delinquency and default rates. As interest rates increase, the cost of carrying debt rises for cardholders, which may strain their financial resources and reduce their capacity to meet monthly payment obligations. This environment could lead to a higher proportion of cardholders falling behind on payments, increasing our credit losses and requiring us to raise our loan loss reserves. Additionally, higher interest rates may reduce cardholder spending and demand for credit, which could limit the revenue, growth, and profitability of our credit card business. These effects could collectively harm our credit card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failure to safeguard and manage our and our users’ fiat currencies and digital assets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hold fiat currencies and safeguard digital assets on behalf of our users. Our expanding number of regulated entities will rely on an increasing number of hot, MPC, and cold wallets, as well as an increasing number of omnibus bank accounts, which heightens the complexity of our operations, including fiat and blockchain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reconciliations and the maintenance of our internal ledger and related accounting procedures. Subcustodial arrangements among our various regulated entities adds to the operational complexity of our international operations. Delays, errors, or failures in these operations could result in investigations, regulatory and enforcement actions, or litigation, and adversely impact our reputation, business, operating results, and financial condition.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manage and accurately safeguard our users’ assets requires a high level of internal controls. As our business continues to grow and we expand our product and service offerings, we must continue to strengthen our associated internal controls and ensure that our third-party service providers do the same. Our success and the success of our offerings requires significant public confidence in our ability to properly manage users’ balances and handle large and growing transaction volumes and amounts of user funds. Any failure by us to maintain the necessary controls or to manage user digital assets and funds appropriately and in compliance with applicable regulatory requirements could result in reputational harm or significant financial losses, lead users to discontinue or reduce their use of our products, and result in significant penalties and fines and additional restrictions,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deposit, transfer, and custody user cash and digital assets in multiple jurisdictions. In each instance, we are required to safeguard users’ assets using bank-level security standards applicable to our hot and cold wallet and storage systems, as well as our financial management systems related to such custodial functions. In general, the overwhelming majority of digital assets on our platform are held in cold storage. Our security technology is designed to prevent, detect, and mitigate inappropriate access to our systems, by internal or external threats. We believe we have developed and maintained administrative, technical, and physical safeguards designed to comply with applicable legal requirements and industry standards. However, it is nevertheless possible that hackers, employees, service providers, or others acting contrary to our policies could circumvent these safeguards to improperly access our systems or documents, or the systems or documents of our business partners, agents, or service providers, and improperly access, obtain, or misuse user digital assets and funds. The methods used to obtain unauthorized access, disable, or degrade service or sabotage systems are also constantly changing and evolving and may be difficult to anticipate or detect for long periods of time.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hold fiat currency and digital assets for administrative and operating purposes. We segregate such assets from our users’ assets by maintaining an internal ledger that distinguishes between customer assets, company assets, and those of affiliates or others. We perform monthly reconciliations between this ledger and onchain balances, maintain an audit trail of all ledger and trading activity, and utilize controls that are subject to our SOC 1 Type 2 exam. Despite these steps we take to segregate such assets from our user assets, any failure to properly safeguard, manage, or account for these funds could result in financial losses, regulatory scrutiny, reputational harm, or legal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loss or destruction of a private key required to access our or our users’ digital assets may be irreversible. If we are unable to access our private keys or if we experience a hack or other data loss relating to the digital assets we hold on behalf of users, our users may be unable to access their digital assets, which could harm user trust in us and our products and services and cause regulatory scrutiny.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own, transfer, and use a digital asset on an underlying blockchain network, a person must have a private and public key pair associated with a blockchain address, commonly referred to as a “wallet.” Digital assets are generally controllable only by the possessor of the unique private key relating to the wallet in which the digital assets are held. To the extent that any of the private keys or other necessary credentials relating to our wallets containing digital assets held for our own account or for our users is lost, destroyed, or otherwise compromised or unavailable, and no backup of the private key is accessible, we will be unable to access the digital assets held in the related wallet. Any loss of private keys or other credentials relating to, or hack or other compromise of, digital wallets used to store our users’ digital assets could adversely affect our users’ ability to access or sell their digital assets, require us to reimburse our users for their losses, and subject us to significant financial losses in addition to losing user trust in us and our products and services. As such, any loss of private keys or other digital wallet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credentials due to a hack, employee or service provider misconduct or error, or other compromise by third parties could negatively impact our brand and reputation, result in significant losses, and adversely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Cyberattacks and security breaches—whether affecting our platform, our employees, our users, or third parties—could adversely impact our brand and reputation and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involves the collection, storage, transmission, and processing of confidential information such as user, employee, service provider, and other personal data, and information required to access user assets. We have built our reputation on the premise that our platform offers users a secure way to purchase, store, and transact in digital assets. As a result, any actual or perceived security breach affecting us or our third-party partners may: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harm our reputation and brand;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our systems, networks, or services being unavailable and interrupt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improper disclosure of data and violations of applicable privacy and data protection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significant regulatory scrutiny, investigations, fines, penalties, and other legal, regulatory, and financial exposure;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cause us to incur significant remediation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lead to theft or irretrievable loss of our or our users’ fiat currencies or digital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user confidence in, or decreased use of,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divert the attention of management from the operation of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significant compensation or contractual penalties from us to our users or third parties as a result of losses to them or claims by them;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adversely affect our business and operating results.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example, in 2022, certain of our third-party vendors and suppliers experienced data breaches, which resulted in the exposure of the email addresses and phone numbers of certain of our users, and corresponding notification to those users and applicable regulators. Further, in June 2024, an unauthorized actor breached the systems of a service provider of one of our third-party ACH banking partners, affecting approximately 15,000 of our users, resulting in notification to those users and applicable regulators. In each case, there were no material failures of our technology systems.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increasing number of organizations, including large merchants, businesses, technology companies, financial institutions, and government institutions have disclosed breaches of their information security systems and networks, some of which have involved sophisticated and highly targeted attacks, on their or their third-party service providers’ websites, mobile applications, and infrastructure. Any actual or perceived breach or cybersecurity attack directed at other financial institutions or digital asset companies, whether or not we are directly impacted, could lead to a general loss of user confidence in the digital asset industry or in the use of technology to conduct financial transactions, which could negatively impact us and market perception of the effectiveness of our security measures and technology infrastructure.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Attacks upon systems and networks across a variety of industries, including the digital asset industry, are increasing in their frequency, persistence, and sophistication, and, in many cases, are being conducted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sophisticated, well-funded, and organized groups and individuals which include state actors. The techniques used to obtain unauthorized, improper, or illegal access to systems and information (including users’ personal data and digital assets), disable or degrade services, or sabotage systems are constantly evolving, may be difficult to detect quickly, and often are not recognized or detected until after they have been launched against a target. Such threats may see their frequency increased and effectiveness enhanced by the use of artificial intelligence (“AI”). Further, these risks may be heightened in connection with ongoing global conflicts, such as Russia’s invasion of Ukraine or the conflicts in the Middle East. Attacks may occur on our systems and networks or those of our third-party service providers or partners. Certain types of cyberattacks could harm us even if our systems and networks remain undisturbed. Attacks may be designed to exploit operational vulnerabilities or other weaknesses in our processes or procedures, to deceive employees and service providers into releasing control of our systems or networks, or to introduce computer viruses and malware into our systems or networks with the intent to steal confidential or proprietary data. Additionally, certain threats are designed to remain dormant or undetectable until launched against a target, and we may not be able to implement adequate preventative measures.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have developed systems and processes designed to protect the data we manage, prevent data loss and other security breaches, effectively respond to known and potential risks, and expend significant resources to bolster these protections, there can be no assurance that these security measures will provide absolute security or prevent breaches or attacks. We have in the past and may, from time to time, experience future breaches of our security measures, which may or may not materially affect our business operations. These breaches may be due to human error, malfeasance, insider threats, system errors, system vulnerabilities and other irregularities. Unauthorized parties have attempted, and we expect that they will continue to attempt, to gain access to our systems and networks, as well as those of our users, partners, and third-party service providers, through various means, including hacking, social engineering, phishing, ransomware, denial-of-service attacks, and attempting to fraudulently induce individuals (including employees, service providers, and our users) into disclosing usernames, passwords, payment card information, and other sensitive information, which may in turn be used to access our information technology systems and users’ digital assets. Threats can come from a variety of sources such as criminal hackers, hacktivists, state-sponsored intrusions, industrial espionage, and insiders. Certain threat actors may be supported by significant financial and technological resources, making them even more sophisticated and difficult to detect. We may also acquire other companies that expose us to unexpected security risks or increase costs to improve the security posture of the acquired company. Further, there has been an increase in such threat actor activities because of the increased prevalence of hybrid and remote working arrangements in recent years. As a result, our costs and the resources we devote to protecting against these advanced threats and their consequences may continue to increase over time. Any perceived or actual security breach—whether affecting our platform, our users, or third parties—may expose us to legal risk and potential liability, including governmental or regulatory investigations and class action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generally perform cybersecurity diligence on our key third-party service providers, we do not control our third-party service providers and our ability to monitor their cybersecurity measures is limited. Some of our third-party service providers may store or have access to our data and may not have effective controls, processes, or practices to protect our information from data breaches or other cybersecurity incidents.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Due to applicable laws and regulations or contractual obligations, we may be held responsible for data breaches or other cybersecurity incidents attributed to our service providers as they relate to the information we share with them. Such incidents could expose us to significant financial and legal liabilities, including regulatory fines, penalties, litigation, and remediation costs.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Although we maintain insurance coverage, it may be insufficient to protect us against all losses and costs stemming from security breaches, cyberattacks, other types of unlawful activity or resulting disruptions, data theft, and loss from such events. We cannot be certain that our insurance coverage will continue to be available to us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economically reasonable terms, if at all, or that any insurer will not deny coverage as to any future claims. Outages and disruptions of our platform, including any caused by cyberattacks, may harm our reputation and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Custody services, and any blockchain technology on which they rely, may be the target of cyberattacks or may contain exploitable flaws in their underlying code, which may result in security breaches and the loss or theft of digital assets that are held or deposited.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Custody services, their structural foundation, and the software applications and other interfaces or applications upon which they rely (including blockchain technology) are based on relatively new technologies, and there can be no assurances that custody services are or will be fully secure, which may result in losses of users’ digital assets and an unwillingness of market participants to access, adopt, and utilize digital assets or the custody services. Examples of the above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cyberattack causing a user withdrawal instruction, or a withdrawal address being altered;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user receiving an incorrect blockchain address, or us sending digital assets to the wrong blockchain address;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hardware failures delaying or preventing deposits and withdrawals;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tampering or spoofing of user instructions and materials;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deposit addresses being incorrectly stored;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hacking or unavailability of user portals rendering users unable to access their account;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vulnerabilities within the applicable blockchain code arising or the blockchain being manipulated by a malicious actor;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attacks on third-party technology supplier infrastructure, such as cloud providers;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cyberattack causing the individual to lose otherwise valid credentials;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tampering with laptop codes to cause withdrawals to incorrect withdrawal addresses;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bad acts by employees, third-party service providers, and others.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will take steps to ensure security and protection against such incidents, no assurance can be given that our custody services are or will be fully secure and protected from attack, and any failure in this regard could result in enforcement actions, litigation, significant costs being incurred, fines, and other penalties, thereby adversely affecting our reputation, business, operating results, and financial condition. The impact of such attacks could also negatively impact the utilization of digital assets and potentially result in a decline in the broader market price of the affected digital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Any significant disruption in our products and services, in our information technology systems, or in any of the blockchain networks we support, could result in a loss of users or funds and adversely impact our brand and reputation and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reputation and ability to attract and retain users and grow our business depends on our ability to operate our service at high levels of reliability, scalability, and performance, including the ability to process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monitor, on a daily basis, a large number of transactions that occur at high volume and frequencies across multiple systems. Our digital asset exchange and the ability of our users to trade digital assets are dependent on our ability to access the blockchain networks underlying the supported digital assets, for which access is dependent on our systems’ ability to access the internet. Further, the successful and continued operations of such blockchain networks will depend on a network of computers, miners, or validators, and their continued operations, all of which may be impacted by service interruptions.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systems, the systems of our third-party service providers and partners, and certain digital asset and blockchain networks have experienced from time to time, and may experience in the future, service interruptions or degradation. This can be due to hardware and software bugs,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In addition, extraordinary trading volumes or site usage could cause our computer systems to operate at an unacceptably slow speed or even fail. Some of our systems, including systems of companies we have acquired, or the systems of our third-party service providers and partners are not fully redundant, and our or their disaster recovery planning may not be sufficient for all possible outcomes or events.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of our systems or networks, or those of our third-party service providers, are disrupted for any reason, as has happened in the past, our products and services may be interrupted or even fail, potentially resulting in unanticipated disruptions, slower response times and delays in our users’ trade execution and processing, failed settlement of trades, delays in withdrawing stakes assets, incomplete or inaccurate accounting, recording, or processing of trades, unauthorized trades, loss of user information, increased demand on limited user support resources, user claims, complaints with regulatory organizations, lawsuits, or enforcement actions. A prolonged interruption in the availability or reduction in the availability, speed, or functionality of our products and services could harm our operations, including our exchange, custody, credit card, and prediction market businesses. Significant or persistent interruptions in our services could cause current or potential users or partners to believe that our systems are unreliable, leading them to switch to our competitors or to avoid or reduce the use of our products and services, and could permanently harm our reputation. Moreover, to the extent that any system failure or similar event results in damages to our users or their business partners, these users or partners could seek significant compensation or contractual penalties from us for their losses, and those claims, even if unsuccessful, would likely be time-consuming and costly for us to address. Problems with the reliability or security of our systems would harm our reputation and the cost of remedying these problems could negatively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data processing systems, or other operating systems and facilities, and those of our third-party service providers, may stop operating properly or become disabled or damaged as a result of a number of factors, including events that are wholly or partially beyond our and our third-party service providers’ control. While we have business continuity, disaster recovery and other policies and procedures designed to prevent or limit the effect of the failure, interruption, or security breach of our information systems, there can be no assurance that any such failures, interruptions or security breaches will not occur or, if they do occur, that they will be adequately covered or addressed by such policies and procedures. Furthermore, if such failures, interruptions, or security breaches are not detected immediately, their effect could be compounded. Our risk and exposure to these matters remains heightened because of the evolving nature of these threats and our use of third-party service providers with access to our systems and data.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we are a regulated financial institution in certain jurisdictions, interruptions may result in regulatory scrutiny, and significant or persistent interruptions could lead to significant fines and penalties, and mandatory and costly changes to our business practices, and ultimately could cause us to lose existing licenses or banking relationships that we need to operate or prevent or delay us from obtaining additional licenses that may be required for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are continually improving and upgrading our information systems and technologies. Implementation of new systems and technologies is complex, expensive, time-consuming, and may not be successful. If we fail to timely and successfully implement new information systems and technologies, or improvements or upgrades to existing information systems and technologies, or if such systems and technologies do not operate as intended, it could have an adverse impact on our business, internal controls (including internal controls over financial reporting),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platform may be exploited to facilitate illegal activity such as fraud, money laundering, terrorist financing, proliferation financing, tax evasion, and scams. If any of our users use our platform to further such illegal activities, our business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may be exploited to facilitate illegal activity including fraud, money laundering, terrorist financing, proliferation financing, tax evasion, and scams.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Moreover, certain activities that may be legal in one jurisdiction may be illegal in another jurisdiction, and certain activities that are at one time legal may in the future be deemed illegal in the same jurisdiction. As a result, there is significant uncertainty and cost associated with detecting and monitoring transactions for compliance with local laws. In the event that a user is found responsible for intentionally or inadvertently violating the laws in any jurisdiction, we may be subject to governmental inquiries, enforcement actions, or prosecution, or otherwise held secondarily liable for aiding or facilitating such activities. Changes in law have also increased the penalties for money transmitters for certain illegal activities, and government authorities may consider increased or additional penalties from time to time. Owners of intellectual property rights or government authorities may seek to bring legal action against money transmitters, including us, for involvement in the sale of infringing or allegedly infringing items. Any threatened or resulting claims could result in reputational harm, and any resulting liabilities, loss of transaction volume, or increased costs could harm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while fiat currencies can be used to facilitate illegal activities, digital assets are relatively new and, in many jurisdictions, may be lightly regulated or largely unregulated. Many types of digital assets have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digital asset transactions, and encryption technology that anonymizes these transactions, that make digital assets susceptible to use in illegal activity. U.S. federal and state and foreign regulatory authorities and law enforcement agencies, such as the Department of Justice, SEC, CFTC, the FTC, or the Internal Revenue Service (“IRS”), and various state securities and financial regulators have taken and continue to take legal action against persons and entities alleged to be engaged in fraudulent schemes or other illicit activity involving digital assets. We also support digital assets that incorporate privacy-enhancing features, and may from time to time support additional digital assets with similar functionalities. These privacy-enhancing digital assets obscure the identities of sender and receiver, and may prevent law enforcement officials from tracing the source of funds on the blockchain. Facilitating transactions in these digital assets may cause us to be at increased risk of liability arising out of anti-money laundering (“AML”) and economic sanctions laws and regulations.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believe that our risk management and compliance framework is designed to detect significant illicit activities conducted by our potential or existing users, we cannot ensure that we will be able to detect all illegal activity on our platform. Illegal activity, the appearance of illegal activity, or government inquiries into the potential for illegal activity may have an adverse impact on our business, operating results, and financial condition. Further, any efforts to identify and remedy such illegal or fraudulent activity may be costly, time-consuming and ultimately may not be successful. If any of our users use our platform to further such illegal activities, our business and reputation could be materially and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From time to time, we may encounter technical issues in connection with the integration of supported digital assets and changes and upgrades to their underlying networks, which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support any supported digital asset, a variety of front and back-end technical and development work is required to implement our wallet, custody, trading, staking and other solutions for our users, and to integrate such supported digital assets with our existing technical infrastructure. Some digital assets require extensive development work, and there is no guarantee that we will be able to integrate successfully with any existing or future digital asset. In addition, such integration may introduce software errors or weaknesses into our cryptocurrency exchange, including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our digital asset exchanges. If we are unable to identify, troubleshoot and resolve any such issues successfully, we may be forced to stop supporting the affected digital asset. This could result in frozen or lost user assets, compromised wallet security, and disruptions to our digital asset exchange and technical infrastructure, all of which could adversely impact our business.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Relatedly, as new product features or additional supported assets are made available by our digital asset exchanges, the various system components and supporting function systems may not integrate properly and the new product features may not be sufficient to meet the needs of our users. Such potential technical limitations may limit our ability to effectively respond to industry and regulatory changes, market demands, or user needs. For more information, see “</w:t>
      </w:r>
      <w:r>
        <w:rPr>
          <w:color w:val="000000"/>
        </w:rPr>
        <w:t>—</w:t>
      </w:r>
      <w:r>
        <w:rPr>
          <w:rFonts w:ascii="Times New Roman;serif" w:hAnsi="Times New Roman;serif"/>
          <w:b w:val="false"/>
          <w:i/>
          <w:color w:val="000000"/>
          <w:sz w:val="20"/>
        </w:rPr>
        <w:t>Risks Relating to our Business and Industry—If we cannot keep pace with rapid industry changes to provide new and innovative products and services, the use of our products and services, and consequently our net revenue, could decline, which could adversely impact our business, operating results, and financial condition.</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insurance coverage is limited, may not cover all losses, and could be hard to maintain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insurance carriers to insure losses resulting from a breach of our physical security or cybersecurity measures, or by employee or third-party theft. Our insurance coverage for such malfeasance is limited and may not cover the extent of loss nor the nature of such loss, in which case we may be liable for the full amount of losses suffered, which could be greater than all of our assets. Our ability to maintain such insurance is subject to the insurance carriers’ ongoing underwriting criteria. Our inability to obtain and maintain appropriate insurance coverage could result in substantial business disruption, adverse reputational impact, inability to compete with our competitors, and regulatory scrutiny. Any loss of a user’s fiat currency or digital assets could result in a subsequent lapse in insurance coverage,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operate in a highly competitive industry and we compete against unregulated or less regulated companies. We also face competition from DEXs and DAOs, which may be able to innovate faster and offer products and services that we do not offer. We also compete against companies with greater financial and other resources. Our business, operating results, and financial condition may be adversely affected if we are unable to respond to competition effectively.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digital asset industry is highly innovative, rapidly evolving, characterized by competition, experimentation, changing user needs, frequent introductions of new products and services, and uncertain and evolving industry and regulatory requirements. We expect competition across our products and services to further intensify in the future as existing and new competitors introduce new products and services or enhance existing products and services. We compete against a number of companies operating both within the United States and abroad, including those that focus on traditional financial services and those that focus on digital asset-based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current and contemplated competition falls into the following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highly regulated digital asset custodians and exchanges, both in the U.S. and abroad;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foreign digital asset custodians and exchanges that are either unregulated or subject to significantly less stringent or onerous regulation, some of whom are potentially able to more quickly adapt to trends, support a greater number of digital assets, and develop new digital asset-based products and services due to less stringent or onerous regulatory scrutiny;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DEXs, DAOs, and dApps;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stablecoin issuers, both in the U.S. and other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traditional financial technology and brokerage firms that have entered, or may enter, the digital asset market to offer overlapping features targeted at our users;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credit card issuers in the credit card market, which makes it potentially difficult to attract and retain users for our Gemini Credit Card due to intense competition.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a major source of competition has been from companies, in particular those located outside the U.S., who at times are and may in the future be subject to significantly less stringent regulatory and compliance requirements in their local jurisdictions. Their business models benefit from being unregulated or only regulated in a small number of jurisdictions with less onerous regulations than the U.S., while also offering their products in highly regulated jurisdictions, including the United States, without necessarily complying with the relevant regulatory requirements in such jurisdictions. Our ability to compete with these companies is limited. Due to the fact that we hold licenses in several jurisdictions with developed regulatory regimes, we have not been able to offer products and services that some users may desire, including products and services that our unregulated or less regulated competitors offer to our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compete against an increasing number of DeFi and noncustodial platforms, including DEXs and DAOs. On these platforms, users can interact directly with a market-making smart contract or onchain trading mechanism to exchange one type of digital asset for another without any centralized intermediary.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platforms are typically not as easy to use as our platform, and some lack the speed and liquidity of centralized platforms, but various innovative models and incentives have been designed to bridge the gap. In addition, such platforms have low startup and entry costs as market entrants often remain unregulated and have minimal operating and regulatory costs. A large number of decentralized platforms have been developed and released on Ethereum, Tron, Polkadot, Solana, and other platforms, many of which have experienced significant growth and adoption. Concerns about the security of assets following incidents on centralized exchanges, such as the Chapter 11 bankruptcy filing of FTX and convictions for fraud and mismanagement of funds of its founder and former CEO, may increase adoption of decentralized and noncustodial platforms. Decentralized exchanges may also not require their users to fill out Know Your Customer (“KYC”) forms, offering an additional layer of privacy to users. We expect interest in decentralized and noncustodial platforms to grow further as the industry develops. If our users move to these decentralized exchanges, our revenue may decline and our business, operating results, and financial condition will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expended significant managerial, operational, and compliance costs to meet the legal and regulatory requirements applicable to us in the United States and other jurisdictions in which we operate, and expect to continue to incur significant costs to comply with these requirements, which these unregulated or less regulated competitors, particularly those structured as DEXs and DAOs, have not had and may not have to incur.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Prediction markets, in particular, have recently emerged as a highly competitive market, with new players expected to enter the field in the near future. If we do not secure substantial market share quickly, we may face intensified challenges in competing effectively with other entrants, which could harm our operating results. Similarly, if we are unable to capture a significant market share in the credit card industry, the intense competition within this already saturated market could make it challenging to differentiate our product and achieve our growth targets.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given the broad scope of our products and services, we also compete with digital and mobile payment companies and anticipate increasing competition from traditional financial services companies. Many innovative startup companies and larger companies have made, and continue to make, significant investments in research and development, and we expect these companies to continue to develop similar or superior products and technologies that compete with our products.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current and potential competitors possess various competitive advantages over us,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trade digital assets and offer products and services that we do not support or offer on our platform (due to constraints from regulatory authorities, our banking partners, and other factors) such as tokens that constitute securities or derivative instruments under U.S. or foreign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name recognition, longer operating histories, larger user bases, and larger market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larger sales and marketing budgets and organizations;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more established marketing, banking, and compliance relationships;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user support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resources to make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lower labor, compliance, risk mitigation, and research and development costs as a percentage of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larger and more mature intellectual property portfolios;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number of applicable licenses or similar authorizations;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established core business models outside of the trading of digital assets, allowing them to operate on lower margins or at a loss;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operations in certain jurisdictions with lower compliance costs and greater flexibility to explore new product offerings;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substantially greater financial, technical, and other resources.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compete successfully, or if competing successfully requires us to take costly actions in response to the actions of our competitors, our business, operating results, and financial condition could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cannot keep pace with rapid industry changes to provide new and innovative products and services, the use of our products and services, and consequently our net revenue, could decline,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industry has been characterized by many rapid, significant, and disruptive products and services in recent years. These include dApps, DeFi, yield farming, NFTs, play-to-earn games, lending, staking, liquid staking and restaking, token wrapping, governance tokens, innovative programs to attract users such as transaction fee mining programs, initiatives to attract traders such as trading competitions, airdrops and giveaways, staking reward programs, Layer 2 blockchain networks, and novel cryptocurrency fundraising and distribution schemes, such as initial coin offerings. We expect new services and technologies to continue to emerge and evolve, which may be superior to, or render obsolete, the products and services that we currently provide. For example, disruptive technologies such as generative artificial intelligence ("AI") may fundamentally alter the use of our products or services in unpredictable ways. We cannot predict the effects of new services and technologies on our business. However, our ability to grow our user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users, generate revenue, or perform or integrate well with third-party applications and platforms. We may periodically reevaluate, scale back, or discontinue certain product or service offerings if they do not perform as anticipated or meet our commercial viability criteria, which could result in additional costs, operational disruption or reputational harm. In addition, our ability to adapt and compete with new products and services may be inhibited by regulatory requirements and general uncertainty in the law, including risks associated with pursuing or operating under new or evolving regulatory frameworks,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users, including large, institutional, high-frequency, and high-volume traders. As a result, we expect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retain existing users, and to attract new users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effectively manage our growth, scale our operations, or implement workforce changes as needed, our business and operating results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2024 and 2025, we experienced a period of significant growth in terms of employee headcount, international footprint, and user growth. As our business changes, it becomes increasingly complex. To effectively manage and capitalize on our growth periods, we need to manage headcount, capital and processes efficiently while making investments such as expanding our information technology and financial, operating, and administrative systems and controls. Growth initiatives could strain our existing resources, and we could experience ongoing operating difficulties in managing our business as it expands across numerous jurisdictions, including difficulties in hiring, training, managing, and retaining a partially remote and evolving employee base. If we do not adapt or scale to meet these evolving challenges, our systems and processes may not scale effectively, we may experience erosion to our brand, the quality of our products and services may suffer, and our company culture may be harmed. The failure of our systems and processes could undermine our ability to provide accurate, timely, and reliable reports on our financial and operating results, and could impact the effectiveness of our internal controls over financial reporting. In addition, our systems and processes may not prevent or detect all errors, omissions, or fraud. Any of the foregoing operational failures could lead to non-compliance with laws, loss of operating licenses or other authorizations, or loss of bank relationships that could substantially impair or even suspend company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Successful implementation of our growth strategy will also require significant expenditures before any substantial associated revenue is generated and we cannot guarantee that these increased investments will result in corresponding and offsetting revenue growth. 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digital asset market in which we operate, substantial uncertainty concerning how these markets may develop, and other economic factors beyond our control, reduces our ability to accurately forecast quarterly or annual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from time to time, we realign our resources and talent to implement stage-appropriate business strategies, including furloughs, layoffs, and reductions in force. For example, in an effort to reduce operating expenses, we have had to strategically reduce our workforce in the past, including in 2024 and earlier this year as part of the Restructuring. Any reduction in force may not achieve the anticipated benefits they were designed to achieve. In addition, in February 2026, we parted ways with our Chief Financial Officer, Chief Operating Officer, and Chief Legal Officer, and these leadership changes, together with our workforce reduction in connection with the Restructuring, may result in operational disruptions, reduce our ability to maintain and improve our systems and controls, and result in the loss of institutional knowledge, including through unplanned attrition. Reductions in force may also adversely affect employee morale and productivity, make it more difficult to hire and retain qualified personnel in the future, and harm our company culture. Any failure to effectively manage our growth or any scaling back of our operations could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remain open to, and continue to consider, opportunistic acquisitions and investments, which could require significant management attention, disrupt our business and, if consummated, result in dilution to our stockholders and adversely affect our financial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continue to routinely conduct discussions and evaluate opportunities for possible acquisitions, strategic investments, entries into new businesses, joint ventures, and other transactions. In the future, the pace and scale of our acquisitions may increase and may include larger acquisitions than we have done historically. Through our venture subsidiaries, Gemini Frontier Fund, LLC and Gemini Frontier Fund Cayman, LLC (collectively, “Gemini Frontier Fund”), we also invest in companies and technologies, many of which are private companies and technologies that are highly speculative in nature. In the future, we may not be able to find other suitable acquisition and investment candidates, and we may not be able to complete acquisitions or make investments on favorable terms, if at all. In some cases, the costs of such acquisitions may be substantial, and there is no assurance that we will receive a favorable return on investment for our acquisitions. We may in the future be required to write off acquisitions or investments.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our previous and future acquisitions and/or investments may not achieve our goals, and any future acquisitions and/or investments we complete could be viewed negatively by users or investors. In addition, if we fail to successfully close or integrate any acquisitions, or integrate the products or technologies associated with such acquisitions into our company, our net revenue and operating results could be adversely affected. Our ability to acquire and integrate companies, products, services, licenses, employees, or technologies in a successful manner is unproven. Any integration process may require significant time and resources, and we may not be able to manage the process successfully, including successfully securing regulatory approvals which may be required to consummate the transaction and to continue to operate the target firm’s business or products in a manner that is useful to us. We may not successfully evaluate or utilize the acquired products, services, technology, or personnel, or accurately forecast the financial impact of an acquisition transaction, including accounting charges. We may have to pay cash, incur debt, or issue equity securities to pay for any such acquisition, any of which could adversely affect our financial results. The sale of equity or issuance of convertible debt for financing could result in dilution to our stockholders, which, depending on the size of such sale, may be significant. The incurrence of indebtedness would result in increased fixed obligations and could also include covenants or other restrictions that would impede our ability to manage our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and maintaining subsidiaries outside the United States exposes us to significant regulatory, operational, and compliance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have subsidiaries in the United States and abroad. We have a limited operating history outside the United States, and our ability to manage our business and conduct our operations internationally requires considerable management attention and resources and is subject to particular challenges of supporting a growing business in an environment of diverse cultures, languages, customs, tax regimes, legal systems, alternate dispute systems, and regulatory systems. If we expand our business and user base outside the United States, we will be increasingly susceptible to risks associated with international operations. These risks and challenges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difficulty establishing and managing international operations and the increased operations, travel, infrastructure, including establishment of local user service operations, local infrastructure to manage supported cryptocurrency or other financial instruments and corresponding books and records, and legal and regulatory compliance costs associated with different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need to vary pricing and margins to effectively compete in international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need to adapt and localize our products and services for specific countries, including offering services and support in local languages;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multiple, potentially conflicting and changing governmental laws and regulations across different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U.S. and foreign laws designed to combat money laundering and the financing of terrorist activities, as well as economic and trade sanctions;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need to comply with a greater set of law enforcement inquiries;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the extraterritorial reach of any U.S. regulatory rules, including those imposed by the CFTC, SEC, the Financial Crimes Enforcement Network (“FinCEN”), or other U.S. based regulators;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anti-bribery laws, including compliance with the Foreign Corrupt Practices Act, the U.K. Bribery Act 2010, and other local anti-corruption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obtaining and maintaining required licensing from regulators in foreign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competition with companies that have greater experience in the local markets or pre-existing relationships with users in these markets or that are subject to less regulatory requirements in local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varying levels of payments and blockchain technology adoption and infrastructure, and increased network, payment processing, banking, and other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collecting in foreign currencies and associated foreign currency exposure;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holding, repatriating, and transferring funds held in offshore bank accounts;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adapting to foreign customary commercial practices, enforcing contracts and collecting accounts receivable, longer payment cycles and other collection difficulties;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restrictions on digital asset trading;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stringent local labor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potentially adverse tax developments and consequences;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antitrust and competition regulations;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regional economic and political conditions.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have limited experience with most international regulatory environments and market practices and may not be able to penetrate or successfully operate in the markets we choose to enter. In addition, we may incur significant expenses as a result of our international expansion, if any, and we may not be successful. We may face limited brand recognition in certain parts of the world that could lead to non-acceptance or delayed acceptance of our products and services by users in new markets. We may also face challenges in complying with local laws and regulations. For example, we may be subject to regulatory frameworks that are evolving, have not undergone extensive rulemaking, and could result in uncertain outcomes for our users and/or our ability to offer competitive products or services in the broader digital asset industry. Our failure to successfully manage these risks could harm our international operations and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realize the anticipated benefits of our planned exit and wind down of operations in the United Kingdom, the European Union, and Australia, including our related reduction in force.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we approved the Restructuring, a plan to exit and wind down our operations in the United Kingdom, the European Union and other European jurisdictions, and Australia, as part of a broader initiative to reduce operating expenses and support our path to profitability. In connection with the Restructuring, we announced a reduction in force, including employees in Europe, the United States, and Singapore.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implemented the Restructuring based on a number of assumptions, and there can be no assurance that the Restructuring will produce the intended results or that the expected cost savings will be realized in the expected amounts or within the expected timeframes, or at all. The Restructuring may take longer to complete than anticipated, and actions taken in connection with the Plan may be more costly than we currently expect. In connection with the Restructuring, we expect to incur pre-tax restructuring and related charges, substantially all of which are expected to result in cash expenditures, including employee-related costs (such as severance payments, notice pay where applicable, and employee benefits and related costs) and other exit and disposal costs (including facility exit costs, contract termination costs, and professional fees). The estimates of the charges and expenditures we expect to incur, and the timing thereof, are subject to a number of assumptions, and actual amounts may differ materially from our estimates. We may also incur charges and expenditures not currently contemplated due to unanticipated events that may occur in connection with the Restructuring.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Restructuring could also adversely affect our business, results of operations, and financial condition. The process of exiting and winding down operations may be disruptive, may divert management attention, and may adversely affect employee morale, productivity and retention, including among employees in jurisdictions in which we will continue to operate. If we do not execute the Restructuring effectively, or if the Restructuring results in greater disruption or costs than expected, our business may be adversely affected and we may not achieve profitability on our anticipated timeline, or at all.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risks related to our previously announced reduction in force, see “—</w:t>
      </w:r>
      <w:r>
        <w:rPr>
          <w:rFonts w:ascii="Times New Roman;serif" w:hAnsi="Times New Roman;serif"/>
          <w:b w:val="false"/>
          <w:i/>
          <w:color w:val="000000"/>
          <w:sz w:val="20"/>
        </w:rPr>
        <w:t>Risks Relating to our Business and Industry—If we fail to effectively manage our growth, scale our operations, or implement workforce changes as needed, our business and operating results could be adversely affected.</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strategy and focus on delivering high-quality, compliant, easy-to-use, and secure crypto-related financial services may not maximize short-term or medium-term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taken, and expect to continue to take, actions that we believe are in the best interests of our users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users through innovation and developing new industry-leading products and technologies. These decisions may not be consistent with the short-term and medium-term expectations of our stockholders and may not produce the long-term benefits that we expect, which could have an adverse effect on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retain existing users or add new users, or if our users decrease their level of engagement with our products, services, and platform, our business, operating results, and financial condition may be materially and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on our ability to retain existing users and attract new users to increase engagement with our products, services, and platform. To do so, we must continue to offer leading technologies and ensure that our products and services are secure, reliable, and engaging. We must also expand our products and services, and offer competitive prices in an increasingly crowded, price-sensitive, and competitive market. There is no assurance that we will be able to competitively innovate or offer better prices, that we will be able to retain our current users or attract new users, or keep our users engaged. Any number of factors can negatively affect user retention, growth, and engagement,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user demand shifting to other products and services, including those that we are unable to offer due to regulatory reasons;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introduce new and improved products and services that are favorably received;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support new and in-demand asset classes or if we elect to support certain asset classes with negative reputations;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user sentiment about the quality or usefulness of our products and services, including from concerns related to privacy, security, regulatory compliance, or other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changes in our products and services that are mandated by legislation, regulatory authorities, or litigation in the United States or other jurisdictions in which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restrictions on our ability to access markets in certain jurisdictions due to legislation, regulatory requirements, or interventions by regulatory authorities;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negative user perception regarding the digital assets on our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technical or other problems preventing us from delivering our products and services with the speed, functionality, security, and reliability that our users expect;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incidents, employee or service provider misconduct, or other unforeseen activities causing losses to us or our users, including losses to assets held by us on behalf of our users;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modifications to our pricing model or modifications by competitors to their pricing models;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provide adequate user service;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media reports or other negative publicity relating to our business, competitors, or the industry as a whole.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certain of these factors have negatively affected, and may continue to negatively affect in the future, user retention, growth, and engagement to varying degrees. Any decrease in user retention, growth, or engagement could render our products and services less attractive to users and may have a material adverse effect on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retain existing users and attract new users, we must continue to enhance our technical infrastructure and other technology offerings to remain competitive and maintain a platform that has the required functionality, performance, capacity, security, and speed to attract and retain users. As a result, we have historically, and expect to continue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and to do so in a timely and cost-effective manner. If we fail to innovate and deliver products and services, or fail to do so quickly compared to our competitors, our business and our ability to successfully compete, to retain existing users, and to attract new users may be materially and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Disputes with our users could adversely impact our brand and reputation and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have been subject to claims and disputes with our users with respect to our products and services, such as claims and disputes arising from allegedly fraudulent or unauthorized transactions and account takeovers. In the future, we are likely to face similar claims, and also possibly claims relating to the execution and settlement of digital asset trades, problems with deposits and withdrawals of digital assets, failures or malfunctions of our systems and services, or other issues relating to our products and services. The ingenuity of criminal fraudsters, combined with many users’ failure to adopt best practices including use of hardware security keys (e.g., Yubikeys), will likely cause our users to continue to be subject to account takeovers and other identity fraud issues. While we have taken measures to detect and reduce the risk of fraud, there is no guarantee that they will be successful and, in any case, to be effective, they require continuous improvement and optimization for continually evolving forms of fraud. There can be no guarantee that we will be successful in detecting and resolving these disputes or defending ourselves in any of these matters, and any failure may result in impaired relationships with our users, damage to our brand and reputation, and substantial fines and damages. In some cases, the measures we have implemented to detect and deter fraud have led to poor user experiences, including indefinite account inaccessibility for some of our users, which increases our user support costs and can compound damages. We could incur significant costs in compensating our users, such as if a transaction was unauthorized, erroneous, or fraudulent. We could also incur significant legal expenses resolving and defending claims, even those without merit. To the extent we are found to have failed to fulfill our regulatory obligations, we could also lose our authorizations or licenses or become subject to conditions that could make future operations more costly, impair our ability to grow, and adversely impact our operating results. We could be subject to investigation and enforcement action by a multitude of state, federal, and international consumer protection agencies.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Claims have been made in various litigations that the Electronic Fund Transfers Act (“EFTA”) applies to digital asset exchanges and custodians, such as us, and to transactions on such platforms. A case filed in the Superior Court for the District of Columbia sought a declaration from that court that EFTA applies to our business, as well as injunctive relief. Gemini is appealing a jurisdictional ruling in that case. The application or extension of EFTA to us and to transactions on platforms such as ours would significantly increase our litigation expenses, as well as user fraud losses borne by us as a result of litigation, and would significantly adversely affect our business, operating results, and financial condition.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user agreements contain arbitration clauses with class action waivers. While these may limit our exposure to consumer class action litigation, and have been generally enforced in the U.S., there is a risk that some U.S. federal, state, or non-U.S. courts may decline to enforce our arbitration clauses or class action waivers, or that the law applicable to these provisions changes in an adverse manner. Legislative, administrative, or regulatory developments may directly or indirectly prohibit or limit the use of arbitration clauses or class action waiver provisions. Any prohibitions, limitations on, or discontinuation of the use of such arbitration or class action waiver provisions could subject us to additional lawsuits. There can be no assurance that we will be successful in enforcing these arbitration provisions, including the class action waiver provisions, in the future or in any given case. There have been instances in which litigants have responded to arbitration clauses paired with class action waivers by filing numerous arbitrations against one company. In some instances, this has caused the companies targeted by mass arbitrations to incur significant amounts in arbitration filing fees, in addition to other arbitration costs. If we were subject to mass arbitration as such, it would adversely affect our business, operating results, and financial condition. While we have taken steps to mitigate the risk of mass arbitrations, there is no guarantee that these steps have been or will be effective.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April 30, 2026, we are facing 373 arbitrations filed by Earn users seeking additional interest separate from their recovery in the Genesis Global Capital, LLC (“Genesis”) bankruptcy. Consistent with the rules of the arbitration provider, National Arbitration and Mediation (“NAM”), we have agreed to participate in 15 “bellwether” arbitrations and all other matters have been stayed pending the outcome of these arbitrations. Gemini has largely prevailed in the first three of these bellwether arbitrations that have been completed; two additional bellwether arbitrations have been dismissed but are pending additional motion practice, and final hearings in three others are in process. It is possible that the number of arbitrations we face will increase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develop, maintain, and enhance our brand and reputation, our business, operating results, and financial condition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brand and reputation are key assets and a competitive advantage. Maintaining, protecting, and enhancing our brand depends largely on the success of our marketing efforts, ability to provide consistent, high-quality, and secure products, services, features, and support, and our ability to successfully secure, maintain, and defend our rights to use the “Gemini” mark and other trademarks important to our brand. We believe that the importance of our brand will increase as competition further intensifies. Our brand and reputation could be harmed if we fail to achieve these objectives or if our public image were to be tarnished by negative publicity, unexpected events, or actions by third parties. Unfavorable publicity about us, including our products, services, technology, data privacy and cybersecurity practices, user service, personnel, and digital asset or digital asset platforms generally could diminish confidence in, and the use of, our products and services. Moreover, to the extent that we acquire a company and maintain that acquired company’s separate brand, we could experience brand dilution or fail to retain positive impressions of our own brand to the extent such impressions are instead attributed to the acquired company’s brand. In addition, because we are a founder-led company, actions by, or unfavorable publicity about, Tyler and Cameron Winklevoss may adversely impact our brand and reputation. Their high visibility and role as vocal proponents of digital assets may also attract additional scrutiny from the public or regulatory bodies, irrespective of whether we or our co-founders have engaged in any unlawful conduct. Any deterioration in our reputation, negative publicity, or unauthorized use of our brand or marks, including as a result of social media reports, regardless of the accuracy of such publicity, could have a material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leveraging AI technologies in the development of certain of our products and processes. These technologies may present business, compliance, and reputational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use machine learning and AI, both proprietary and third-party technologies, to support our products, processes, and internal operations and have plans to expand our use of AI in the future. For example, we use AI models to assess the risk of ACH fraud and duplicate accounts, assist with identity verification, analyze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customer feedback, and power customer service chatbots. These models are trained primarily on internal datasets, including user transaction history, account activity, and customer service interactions, and operate under data governance protocols that prohibit the use of sensitive or personally identifiable information in generative AI applications. We also use third-party generative AI tools under enterprise agreements for internal use cases such as resume screening and developer support.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of such technology remain ongoing and may be costly and yield inefficient results. As with many new and emerging technologies, AI presents significant potential for efficiencies but also risks and challenges that could adversely affect our business. If we fail to keep pace with rapidly evolving AI technological developments, our competitive position and business results may suffer. For example, if our competitors or other third parties incorporate AI-powered solutions into their products more quickly or more successfully than us, this could impair our ability to compete effectively. At the same time, use of AI has recently become the source of significant media attention and political debate. Although we attempt to mitigate this risk, content generated by AI systems may be offensive, illegal, or otherwise harmful. Further, such content may appear correct but is factually inaccurate, misleading or otherwise flawed, which could negatively impact our users, harm our reputation and business, and expose us to liability. AI and machine learning models require training on datasets prior to production use, and in some instances, AI algorithms or training methodologies may be overbroad, insufficient, or contain biased information. Ineffective or inadequate AI development or deployment practices by us or others could result in incidents that impair the acceptance of AI solutions or cause harm to individuals, users, or society, or result in our products and services not working as intended. Further, if third parties allege that our AI and machine learning models violate applicable law, or that our use of training data violates applicable law or third-party rights, we may be subject to legal liability or we may be forced to retrain our models on different datasets, which could result in unexpected costs, and adversely affect the availability of our offerings or their reliability, or otherwise make them less useful for their intended purpose. Human review of certain outputs may be required. Our implementation of AI systems could result in legal liability, regulatory action, brand, reputational, or competitive harm, or other adverse impacts.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the regulatory framework for AI and similar technologies, and automated decision making, is changing rapidly and as the regulatory framework for machine learning technology, generative AI and automated decision making evolves, our business may be adversely affected. It is possible that new laws and regulations will be adopted in the United States and in non-U.S. jurisdictions, or that existing laws and regulations may be interpreted in ways that would affect our use and provision of AI-powered solutions. Because these technologies are themselves highly complex and rapidly developing, it is not possible to predict all of the legal or regulatory risks that may arise relating to our use of such technologies, and we may not be able to adequately anticipate or respond to these evolving laws and regulations. The cost to comply with such laws or regulations could be significant and would increase our operating expenses, which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utilization of AI becomes more prevalent, we anticipate that it will continue to present new or unanticipated ethical, reputational, technical, operational, legal, competitive, and regulatory issues, among others. We expect that such utilization of AI will require additional resources, including the incurrence of additional costs, to develop and maintain our platform offerings, services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use of AI-powered solutions has resulted in, and may in the future result in, data breaches and cybersecurity incidents that implicate the personal data of users of AI-powered solutions.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experience data breaches or other cybersecurity incidents in connection with our use of AI-powered solutions, it could adversely affect our reputation and expose us to legal liability or regulatory risk, including with respect to third-party intellectual property, privacy, publicity, contractual, or other rights. Additionally, if any of our employees, contractors, vendors, or service providers use any third-party AI-powered solutions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In addition, third-party AI technologies that we utilize in our business may include open source software. These AI technologies may incorporate data from third-party sources, including our users’ information they input into the AI tools, which may expose us to risks associated with data rights and protection. Our ability to mitigate risks associated with disclosure of our confidential information, including in connection with AI-powered software, will depend on our implementation, maintenance, monitoring, and enforcement of appropriate technical and administrative safeguards, policies and procedures governing the use of AI-powered solutions in our business. Further, if we are unable to maintain rights to use these AI technologies on commercially reasonable terms, we may be forced to acquire or develop alternate AI technologies, which may limit or delay our ability to provide competitive offerings and may increase our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in the past, and may in the future, enter into partnerships, collaborations, joint ventures, or strategic alliances with third parties. If we are unsuccessful in establishing or maintaining strategic relationships with these third parties or if these third parties fail to deliver certain operational services,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enter into partnerships, collaborations, joint ventures, or strategic alliances with third parties in connection with the development, operation, and enhancements to our platform and products and the provision of our services. Identifying strategic relationships with third parties, and negotiating and documenting relationships with them, may be time-consuming and complex, and may distract management. Moreover, we may be delayed, or not be successful, in achieving the objectives that we anticipate as a result of such strategic relationships. In evaluating counterparties in connection with partnerships, collaborations, joint ventures, or strategic alliances, we consider a wide range of economic, legal, and regulatory criteria depending on the nature of such relationship, including the counterparties’ reputation, operating results, and financial condition, operational ability to satisfy our and our users’ needs in a timely manner, efficiency and reliability of systems, certification costs to us or to our users, and licensure and compliance status. Despite this evaluation, third parties may still not meet our or our users’ needs, which may adversely affect our ability to deliver products and services to users, and which may adversely impact our business, operating results, and financial condition. Counterparties to any strategic relationship may have economic or business interests or goals that are, or that may become, inconsistent with our business interests or goals, and may subject us to additional risks to the extent such third-party becomes the subject of negative publicity, faces its own litigation or regulatory challenges, or faces other adverse circumstances. Conflicts may arise with our strategic partners, such as the interpretation of significant terms under any agreement, which may result in litigation or arbitration which would increase our expenses and divert the attention of our management. If we are unsuccessful in establishing or maintaining strategic relationships with third parties, our ability to compete in the marketplace or to grow our revenue could be impaired and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Banking relationships in the digital asset space have historically been difficult to obtain and maintain. Loss of a critical banking or insurance relationship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bank relationships to provide banking rails for our platform. In particular, users’ cash holdings on our platform are held with one or more of our multiple banking partners in omnibus accounts. Given the industry in which we operate, our banking partners may view us as a higher risk customer for purposes of their AML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programs, notwithstanding the fact that the subsidiaries through which we operate hold all required licenses for their current activities. GTC and Gemini Moonbase, LLC (“Gemini Moonbase”) are registered money services businesses with FinCEN under the Bank Secrecy Act, as amended by the USA PATRIOT Act of 2001, and its implementing regulations (the "BSA"). In addition, we hold MTLs or the statutory equivalent in all U.S. states requiring such licenses for our operations. Further, GTC is a limited purpose trust company chartered by the NYDFS. Likewise, our foreign subsidiaries hold all required licenses, including from the Monetary Authority of Singapore.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face difficulty establishing or maintaining banking relationships due to instability in the global banking system, regulatory uncertainty and scrutiny, or our banking partners’ policies. The loss of banking partners or the imposition of operational restrictions by banking partners and the inability for us to utilize other redundant financial institutions may result in a disruption of business activity as well as regulatory risks. In addition, as a result of the myriad of regulations, the risks of digital assets generally, the adverse reputational impact of widely-publicized negative events (such as FTX’s collapse) on our industry, implicit or explicit pressure from banking regulators and supervisors, or in the event of an adverse outcome of any litigation, financial institutions in the United States and globally may decide to not provide, or be prohibited from providing, account, custody, or other financial services to us or the digital asset industry generally.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financial institutions we rely on face bank resolution or failure, limit or stop their digital asset activities, or if banking access for digital asset participants is restricted in a certain country, it could lead to temporary delays or unavailability of critical services in that country. This may affect our operations, reduce the availability of vendors or quality of services available to us or our users, and cause a general disruption in the digital asset industry, potentially reducing activity on our platform, which may adversely impact our business, operating results, and financial condition. For example, our business and operations were affected by the closures of Silvergate Capital Corp. and Signature Bank and the cessation of their real-time fiat currency payment networks in March 2023.</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rely on insurance carriers to insure user losses resulting from a breach of our physical security, cybersecurity, or by employee or third-party theft. Our ability to maintain such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currently rely on third-party service providers for certain aspects of our operations, and any interruptions in services provided by these third parties may impair our ability to support our users.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third parties for various aspects of our business, including payment processors, and banks; cloud services and data centers for infrastructure, smart contract development, and website functionality; and external providers for user support, compliance, and product development. Many or all of these third-party service providers are critical to our operations. Because we rely on third parties to provide these services and to facilitate certain of our business activities, we face increased operational risks. We do not directly manage the operation of any of these third parties. These third parties may be subject to financial, legal, regulatory, and labor issues, cybersecurity incidents, data theft or loss, break-ins, computer viruses or vulnerabilities in their code, denial-of-service attacks, sabotage, acts of vandalism, loss, disruption, or instability of third-party banking relationships, privacy breaches, service terminations, disruptions, interruptions, and other misconduct. They are also vulnerable to damage or interruption from human error, power loss, telecommunications failures, fires, floods, earthquakes, hurricanes, tornadoes, pandemics, and similar events. In addition, these third parties may breach their agreements with us, disagree with our interpretation of contract terms or applicable laws and regulations, refuse to continue or renew these agreements on commercially reasonable terms or at all, fail or refuse to process transactions or provide other services adequately, take actions that degrade the functionality of our products and services, impose additional costs or requirements on us or our users, or give preferential treatment to competitors. There can be no assurance that third parties that provide services to us or to our users on our behalf will continue to do so on acceptable terms, or at all. If any third parties do not adequately or appropriately provide their services or perform their responsibilities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us or our users on our behalf, such as if third-party service providers close their data center facilities without adequate notice, are unable to restore operations and data, fail to perform as expected, or experience other unanticipated problems, we may be unable to procure alternatives in a timely and efficient manner and on acceptable terms, or at all, and we may be subject to business disruptions, losses, or costs to remediate any of the deficiencies, user dissatisfaction, reputational damage, legal or regulatory proceedings, or other adverse consequences which could harm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suffer losses as a result of our staking activity and related user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supported digital assets enable holders to earn rewards through staking digital assets and participating in governance. We currently allow our users in some jurisdictions to stake certain digital assets that we hold on their behalf, and we anticipate our staking options to expand in the future. If we or any third-party service providers or smart contracts fail to perform as expected, or if we suffer cybersecurity attacks, experience security issues, or encounter other problems, our users’ assets may be irretrievably lost or withdrawals of staked assets could be delayed. Technical issues on our platform have interfered with the ability of our users to withdraw staked assets in the past. In addition, certain blockchain networks may impose penalties, or “slashing,” if the staking or other related activities are not performed appropriately. Relevant issues and activities include malicious activity on the network, double signing any transaction or extended downtimes on our platform, among others. If we or any of our third-party service providers are slashed by the underlying blockchain network, our users’ assets may be confiscated by the network, resulting in losses for which we could be deemed responsible. Any penalties or slashing events could damage our brand and reputation, cause us to suffer financial losses, discourage existing and future users from utilizing our products and services and may otherwise adversely impact our business. Relatedly, as staking features or protocols or additional supported assets are made available by our digital asset exchange, the various system components and supporting function systems may not integrate properly and the new product features may not be sufficient to meet the needs of our users. Moreover, as staking protocols evolve, the various system components may not keep pace with protocol expectations or specification. Such potential technical limitations may limit our ability to effectively respond to industry and regulatory changes, market demands or user needs.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provide loans to our users, which would expose us to credit risks and may cause us to incur financial or reputational harm.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provide commercial loans to qualified users secured by their crypto or fiat asset holdings on our platform, which would expose us to the risk of our borrowers’ inability to repay such loans. In addition, such activity would result in us being subject to certain lending laws and regulations in the applicable jurisdiction and as a result we would be subject to additional regulatory scrutiny. Furthermore, we are exposed to the risk of our users’ inability to repay their Gemini Credit Card balances pursuant to WebBank’s extension of credit. In the future we may enter into credit arrangements with financial institutions to obtain more capital. Any termination or interruption in the financial institutions’ ability to lend to us could interrupt our ability to provide capital to qualified users to the extent we rely on such credit lines to continue to offer or to grow such products. Further, our credit approval process, pricing, loss forecasting, and scoring models may contain errors or may not adequately assess creditworthiness of our borrowers, or may be otherwise ineffective, resulting in incorrect approvals or denials of loans. It is also possible that loan applicants could provide false or incorrect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Borrower loan loss rates may be significantly affected by economic downturns or general economic conditions beyond our control and beyond the control of individual borrowers. In particular, loss rates on loans may increase due to factors such as prevailing market conditions in the digital asset industry, the price of bitcoin and other crypto assets, which have experienced significant fluctuations, the amount of liquidity in the markets, and other factors. Borrowers may seek protection under federal bankruptcy law or similar laws. If a borrower of a loan files for bankruptcy (or becomes the subject of an involuntary petition), a stay may go into effect that will automatically put any pending collection actions on the loan on hold and prevent further collection action absent bankruptcy court approval. The efficacy of our security interest in user collateral is not guaranteed under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 law or the Uniform Commercial Code and therefore we may be exposed to loss in the event of a user default, even if we appear to be secured against such default. If any of the foregoing events were to occur, our reputation and relationships with borrowers, and our financial results, could be harmed. We intend to continue to explore other products, models, and structures for offering financing, and other forms of credit and loan products. Some of those models or structures may require, or be deemed to require, additional data, procedures, partnerships, licenses, regulatory approvals, or capabilities that we have not yet obtained or developed.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on our agreement with WebBank to offer the Gemini Credit Card. If our relationship with WebBank were to end, the ability to continue to offer the Gemini Credit Card would be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offer the Gemini Credit Card to eligible consumers through an agreement with WebBank, our bank partner. If our relationship with WebBank were to end or if WebBank were to cease operations, our ability to continue to offer the credit card product would be affected, which could adversely affect our financial and business results. In such an event, we would need to either partner with a different bank or rely on individual state lending licenses (to the extent necessary) to continue to offer the credit card product. If we partner with a new bank, issuance and servicing of the credit card product could be disrupted and delayed as we transition to a different bank partner. We also may face increased costs and compliance burdens if the agreement with WebBank is terminated.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the Gemini Credit Card is subject to various laws, regulations, and industry standards, all of which are subject to change and some of which are subject to uncertain interpretation. If we fail to accurately predict how such laws, regulations, and standards apply to our business, or if any deficiencies or violations of any such laws, regulations, or industry standards are identified by us, or asserted by any regulatory authority, we could be subject to regulatory enforcement causing WebBank to terminate our relationship or subjecting us to an indemnity claim by WebBank, either of which could have a material adverse impact on our credit card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Gemini Credit Card is subject to increasingly sophisticated frauds that can be difficult to detect, including income and identity misrepresentation, fraudulent application activity, and credit bust-out schemes. Such fraud schemes could have a material adverse impact on our credit card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Gemini Credit Card business relies on the integrity of borrower information, including income, employment status and identity, to assess creditworthiness and manage risk across the credit card program. Misrepresentations of borrower income, employment, or identity, whether intentional or otherwise, could lead to extensions of credit to individuals or entities who lack the ability or intent to repay their debts. Additionally, fraudulent schemes, particularly, credit bust-out schemes where cardholders deliberately establish and build out credit histories with the intent of defaulting on large sums, which have been perpetrated against the Gemini Credit Card program in the past, pose a significant risk to the credit card business.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underwriting and fraud detection systems are designed to identify inaccuracies and fraudulent activity, but these systems have inherent limitations and may not fully prevent losses from sophisticated schemes or material misrepresentations. Fraudulent application activity, including coordinated or automated attempts to obtain approval for the Gemini Credit Card using false, stolen, synthetic, or otherwise misleading applicant information, could also increase Card Sign-Ups and limit the usefulness of Card Sign-Ups as a key business metric. See “—</w:t>
      </w:r>
      <w:r>
        <w:rPr>
          <w:rFonts w:ascii="Times New Roman;serif" w:hAnsi="Times New Roman;serif"/>
          <w:b w:val="false"/>
          <w:i/>
          <w:color w:val="000000"/>
          <w:sz w:val="20"/>
        </w:rPr>
        <w:t>General Risk Factors—Key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color w:val="000000"/>
        </w:rPr>
        <w:t xml:space="preserve">” </w:t>
      </w:r>
      <w:r>
        <w:rPr>
          <w:rFonts w:ascii="Times New Roman;serif" w:hAnsi="Times New Roman;serif"/>
          <w:b w:val="false"/>
          <w:color w:val="000000"/>
          <w:sz w:val="20"/>
        </w:rPr>
        <w:t>If a significant number of accounts are impacted by misrepresentations of information or become involved in fraudulent schemes or activities, this could have a materially adverse impact on our reputation,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any failure to effectively identify and prevent misrepresentation and fraudulent activity may require us to invest additional resources into detection systems and fraud monitoring, further impacting our profitability. We have implemented measures that are intended to protect against credit card fraud losses, but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credit card anti-fraud measure can be perfectly effective. The Gemini Credit Card program has been the target of sophisticated fraud attacks in the past, resulting in financial losses. It is difficult to predict the extent to which the anti-fraud measures now in place, or that may be put in place in the future, will be effective in mitigating or preventing future fraud. If we are unable to sufficiently manage or mitigate these risks, we may face increased regulatory scrutiny, potential legal action, and reputational harm, which could have a material adverse effect on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credit card business is highly regulated by multiple regulators. See “—</w:t>
      </w:r>
      <w:r>
        <w:rPr>
          <w:rFonts w:ascii="Times New Roman;serif" w:hAnsi="Times New Roman;serif"/>
          <w:b w:val="false"/>
          <w:i/>
          <w:color w:val="000000"/>
          <w:sz w:val="20"/>
        </w:rPr>
        <w:t>Risks Relating to our Business and Industry—The Gemini Credit Card is subject to various laws, regulations, and industry standards, all of which are subject to change and some of which are subject to uncertain interpretation.</w:t>
      </w:r>
      <w:r>
        <w:rPr>
          <w:color w:val="000000"/>
        </w:rPr>
        <w:t xml:space="preserve">” </w:t>
      </w:r>
      <w:r>
        <w:rPr>
          <w:rFonts w:ascii="Times New Roman;serif" w:hAnsi="Times New Roman;serif"/>
          <w:b w:val="false"/>
          <w:color w:val="000000"/>
          <w:sz w:val="20"/>
        </w:rPr>
        <w:t>Measures to control credit fraud can lead to regulatory investigations, regulatory enforcement actions, and civil lawsuits brought by the government or private litigants. Some of the anti-fraud measures implemented in connection with the Gemini Credit Card program have triggered regulatory scrutiny and might draw regulatory scrutiny in the future, including with respect to the Equal Credit Opportunity Act. Litigation or enforcement actions relating to the credit card program could also harm our reputation and jeopardize our relationship with WebBank, which issues the Gemini Credit Card and extends credit to users thereof. If our relationship with WebBank were to end, we would have to find a replacement issuing bank in order to maintain the Gemini Credit Card program. If we were not successful, our business, operating results, and financial condition would suffer. See “—</w:t>
      </w:r>
      <w:r>
        <w:rPr>
          <w:rFonts w:ascii="Times New Roman;serif" w:hAnsi="Times New Roman;serif"/>
          <w:b w:val="false"/>
          <w:i/>
          <w:color w:val="000000"/>
          <w:sz w:val="20"/>
        </w:rPr>
        <w:t>Risks Relating to our Business and Industry—We rely on our agreement with WebBank to offer the Gemini Credit Card. If our relationship with WebBank were to end, the ability to continue to offer the Gemini Credit Card would be affected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There can be no assurance that our co-branded credit cards will be successful in generating a recurring stream of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we launched co-branded credit cards, including in conjunction with Ripple in August 2025. The launch with Ripple was a contributing factor in more than 30,000 new credit card sign-ups in the month of August 2025, a new monthly high that was more than twice the number of credit card sign-ups in the prior month. While these sign-ups reflected initial customer interest in the co-branded credit card, not all approved applicants activated or used their cards, and therefore sign-ups alone are not necessarily indicative of cardholder activity or future revenues. The ultimate performance of the Ripple and other co-branded credit cards will depend on factors such as the number of cards actually issued and remaining open, cardholder transaction volume, and the level of related receivables. As a result, there can be no assurance that the launch of our co-branded credit card with Ripple, or any other co-branded credit card, will be successful in generating a recurring stream of revenue for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hold certain investments in various crypto assets and may suffer losses.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hold investments in a number of crypto assets. These investments are subject to significant risks due to the inherent volatility associated with the digital asset industry. See “—</w:t>
      </w:r>
      <w:r>
        <w:rPr>
          <w:rFonts w:ascii="Times New Roman;serif" w:hAnsi="Times New Roman;serif"/>
          <w:b w:val="false"/>
          <w:i/>
          <w:color w:val="000000"/>
          <w:sz w:val="20"/>
        </w:rPr>
        <w:t>Risks Relating to our Business and Industry—Our operating results have and will significantly fluctuate, due to inherent volatility associated with the digital asset industry including, but not limited to, the price of digital assets, regulatory scrutiny of certain digital assets or related products and services, or changes in applicable laws</w:t>
      </w:r>
      <w:r>
        <w:rPr>
          <w:rFonts w:ascii="Times New Roman;serif" w:hAnsi="Times New Roman;serif"/>
          <w:b w:val="false"/>
          <w:color w:val="000000"/>
          <w:sz w:val="20"/>
        </w:rPr>
        <w:t>.” In addition, some of the crypto assets we own rely on DeFi protocols for their utility and value. These DeFi protocols are built on self-executing smart contracts designed to facilitate digital asset transactions without intermediaries. These investments typically earn interest based on borrower repayment rates and are generally accessible for withdrawal without restrictions. However, our investments in DeFi protocol tokens are subject to significant DeFi-specific risks, including, but not limited to, regulatory uncertainty, smart contract vulnerabilities, credit and collateral risks, and governance risks. If any of these risks materialize, the value and recoverability of our investments in DeFi protocol tokens could be materially and adversely affected, potentially resulting in financial losses and reputational harm.</w:t>
      </w:r>
    </w:p>
    <w:p>
      <w:pPr>
        <w:pStyle w:val="TextBody"/>
        <w:bidi w:val="0"/>
        <w:spacing w:before="0" w:after="0"/>
        <w:ind w:left="0" w:right="0" w:firstLine="720"/>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There can be no assurance that Gemini Predictions will gain sufficient user adoption or market share, and there is no guarantee that it will generate meaningful revenue for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we launched Gemini Predictions, a CFTC-regulated prediction market platform offered through our affiliate, Gemini Titan, which holds a DCM license. Gemini Predictions is a new offering, and there can be no assurance that it will develop into a successful or meaningful revenue-generating line of business. Prediction markets are a nascent and highly competitive industry, and our ability to grow Gemini Predictions depends on our ability to attract and retain users and to gain market share. Gemini Predictions may not achieve sufficient market acceptance, user adoption, or market share to generate meaningful revenue for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launch and continued development of Gemini Predictions requires the investment of significant financial and management resources, including resources that could otherwise be used to develop, enhance, and operate other products and services. If Gemini Predictions does not achieve market acceptance or generate meaningful revenue, we may not recover our investments and may reduce our investment in, modify, or discontinue Gemini Predictions in the future.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Gemini Predictions is subject to evolving legal and regulatory considerations. For more information on regulatory risks relating to Gemini Predictions, see “—</w:t>
      </w:r>
      <w:r>
        <w:rPr>
          <w:rFonts w:ascii="Times New Roman;serif" w:hAnsi="Times New Roman;serif"/>
          <w:b w:val="false"/>
          <w:i/>
          <w:color w:val="000000"/>
          <w:sz w:val="20"/>
        </w:rPr>
        <w:t>Risks Relating to Regulatory and Legal Matters</w:t>
      </w:r>
      <w:r>
        <w:rPr>
          <w:color w:val="000000"/>
        </w:rPr>
        <w:t>—</w:t>
      </w:r>
      <w:r>
        <w:rPr>
          <w:rFonts w:ascii="Times New Roman;serif" w:hAnsi="Times New Roman;serif"/>
          <w:b w:val="false"/>
          <w:i/>
          <w:color w:val="000000"/>
          <w:sz w:val="20"/>
        </w:rPr>
        <w:t>The applicability of certain preexisting laws and regulations to our prediction markets business is uncertain and regulatory or enforcement action against Gemini Predictions may adversely affect our prediction markets business.</w:t>
      </w:r>
      <w:r>
        <w:rPr>
          <w:color w:val="000000"/>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redemption risk and regulatory risk associated with stablecoins may adversely affect our business and financial position.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issue GUSD, a U.S. dollar-backed stablecoin, as well as support other stablecoins on our platform. Stablecoins have a unique risk associated with redemptions in which the stablecoin is exchanged for the underlying asset. The underlying assets are often invested into perceived “safe” investments such as U.S. treasuries. However, there is no guarantee that the underlying assets for all stablecoins are put into instruments that are as safe as they may be perceived to be. There is a risk that the assets may not be redeemable at the 1:1 redemption ratio (i.e., 1 USD for 1 stablecoin). If we or third-party stablecoin issuers experience redemption pressures or liquidity shortfalls, it could lead to market instability and reduced user confidence in stablecoins, including GUSD, which could negatively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the Guiding and Establishing National Innovation for U.S. Stablecoins Act of 2025 (the "GENIUS Act"), which establishes a regulatory framework for payment stablecoins, was entered into law. It is not yet known how the GENIUS Act will be interpreted by courts. Further, the sale and resale of such stablecoins may implicate a variety of banking, deposit, money transmission, prepaid access and stored value, AML, commodities, securities, sanctions, and other laws and regulations in the various jurisdictions relevant to our business. The risks associated with stablecoins may adversely affect interest in and demand for the products and services we seek to offer, and subject us to additional regulatory uncertainties, which may result in enforcement actions, litigation, significant costs being incurred, fines, and other penalties, as well as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Due to unfamiliarity and some negative publicity associated with digital asset platforms, existing and potential users may lose confidence in digital asset platforms.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Unlike securities or other traditional asset exchanges and financial services providers, digital asset platforms are relatively new and, in some jurisdictions, unregulated. While many prominent digital asset platforms provide the public with significant information regarding their ownership structure, management teams, corporate practices, and regulatory compliance, many digital asset platforms do not provide this information, which could result in users making uninformed investment decisions. As a result, the marketplace may lose confidence in digital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 platforms, including prominent platforms that handle a significant volume of digital asset trading. Additionally, digital assets may be more vulnerable than other types of assets to market or price manipulation and other fraudulent practices, including due to the lack of regulation globally. Any actual or perceived false trading in trading platforms or any other fraudulent or manipulative acts and practices, and any associated negative publicity, could adversely affect the value of digital assets and/or negatively affect the market perception of such digital assets and, by extension, other digital asset markets and platforms, including our platform. Larger platforms like ours are more appealing targets for hackers and malware. For example, in February 2025, the digital asset trading platform Bybit reportedly lost approximately $1.5 billion in Ether through a hacker-induced transfer from its cold wallet to a wallet address said to be associated with the Lazarus Group (a hacker group believed to be run by the government of North Korea). Such attacks could cause users to lose confidence in digital asset platforms.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numerous digital asset platforms have been sued, investigated, or shut down due to fraud, manipulative practices, business failure, and security breaches. In many of these instances, users of these platforms were not compensated or made whole for their losses. For example, in November 2022, FTX, a crypto exchange, filed for bankruptcy and a year later, in November 2023, FTX’s CEO was found guilty on fraud charges. On March 27, 2023, the CFTC announced the filing of a civil enforcement action in the U.S. District Court for the Northern District of Illinois charging, among others, various entities that operate the Binance platform and Binance’s co-founder and CEO with numerous violations of the U.S. Commodities Exchange Act of 1936 (the “CEA”) and CFTC regulations. Furthermore, on June 5, 2023, the SEC filed a civil complaint in the U.S. District Court for the District of Columbia against Binance and other related entities, as well as its co-founder and CEO. The complaint consisted of thirteen charges, including misleading investors and operating as an unregistered securities exchange, broker and clearing agency in violation of U.S. securities laws. While on May 29, 2025, the SEC dismissed its civil lawsuit, on November 21, 2023, Binance and its CEO pled guilty to federal criminal charges that Binance violated and caused a financial institution to violate the BSA, with Binance entering into a $4.3 billion settlement with the U.S. Justice Department, in addition to the confiscation of certain assets and its CEO resigning and accepting an individual fine of $50 million. Binance also settled with the CFTC on November 21,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outcome and results of these and other enforcement actions against digital asset platforms, to the extent not already resolved or dismissed, may have a significant negative impact on the adoption and use of digital assets both globally and within the United States and could negatively impact the liquidity, volatility, and value of such assets. In addition, there have been reports that a significant amount of digital asset trading volume on digital asset platforms is fabricated and false in nature. Such reports may indicate that the market for digital asset platform activities is significantly smaller than otherwise understood.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Negative perception, a lack of stability and standardized regulation in the digital asset industry, and the closure or temporary shutdown of digital asset platforms due to fraud, business failure, hackers or malware, or government mandated regulation, as well as any associated losses suffered by users, may reduce confidence in digital assets and result in greater volatility of the prices of digital assets, including significant depreciation in their value. Any of these events could have a material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users may deposit and withdraw digital assets into and from our platform, and errors which occur with respect to such deposits and withdrawals could result in loss of some or all of a user’s assets, user disputes, and other liabilities,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are controllable only by the possessor of both the unique blockchain address and controlling private key relating to the local or online digital wallet in which such digital asset is held. In order to deposit digital assets held by a user into our crypto exchange or custody platforms, a user must “sign” a transaction that consists of the private key of the wallet from which the user is transferring digital assets, direct the deposit using the blockchain address of a wallet that we control and which we provide to the user, and broadcast the deposit transaction onto the underlying blockchain network. Similarly, to withdraw digital assets from our digital asset exchanges or custody platforms, a user must provide us with the blockchain address of the wallet that the digital assets are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transferred to, and a party with access to the private keys of a wallet holding the digital asset to be withdrawn is required to “sign” a transaction authorizing the transfer. In addition, some blockchain networks might require additional information to be provided in connection with any transfer of digital assets into or out of our platforms and wallets. A number of errors could occur in the process of depositing or withdrawing digital assets into or from our platform, such as typos, mistakes, or the failure to include the information required by the blockchain network. For instance, a user may incorrectly enter our wallet’s blockchain address or the desired recipient’s blockchain address when depositing and withdrawing from our platforms, respectively. Alternatively, a user may transfer digital assets to a wallet address that the user does not own, control, or hold the private keys to. In addition, each wallet address is only compatible with the underlying blockchain network on which it is created. For instance, a bitcoin wallet address can only be used to send and receive bitcoin. If any ether or other digital assets are sent to a bitcoin wallet address, or if any of the foregoing errors occur, such digital assets could be permanently and irretrievably lost with no means of recovery. Such incidents could result in user disputes, damage to our brand and reputation, legal claims against us, and financial liabilities, any of which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temporary or permanent blockchain fork to any supported digital asset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Most blockchain protocols, including Bitcoin and Ethereum, are open source. Any user can download the software, modify it, and then propose that Bitcoin, Ethereum, or other blockchain protocols users and miners or validators adopt the modification. When a modification is introduced and a substantial majority of users and miners or validators consent to the modification, the change is implemented and the Bitcoin, Ethereum or other blockchain protocol networks, as applicable, remain uninterrupted. However, if less than a substantial majority of users and miners or validators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 with the other.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guarantee that we will support any fork or provide the benefit of any forked digital asset to our users. However, we have in the past and may in the future continue to be subject to claims by users arguing that they are entitled to receive certain forked or airdropped digital assets by virtue of digital assets that they hold with us. If any users succeed on a claim that they are entitled to receive the benefits of a forked or airdropped digital asset that we do not or are unable to support, we may be required to pay significant damages, fines, or other fees to compensate users for their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fork may also lead to a disruption of networks and our information technology systems, cybersecurity attacks, replay attacks, or security weaknesses, any of which can further lead to temporary or even permanent loss of our and our users’ assets. Such disruption and loss could cause us to be exposed to liability, even in circumstances where we have no intention of supporting an asset compromised by a fork.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currently support, and expect to continue to support, certain smart contract-based digital assets. If the underlying smart contracts for these digital assets do not operate as expected, or if the fundamental premise of smart contract acceptance or function shifts, our business,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support, and expect to continue to support, various digital assets that represent units of value on smart contracts deployed on a third-party blockchain. Smart contracts are programs that can store, automatically execute and transfer value, or conduct other operations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allowed hackers to create a large number of smart contract tokens, causing multiple digital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including those held by our users on our digital asset exchanges may suffer negative publicity, be exposed to security vulnerabilities, decline significantly in value, or lose liquidity over a short period of time.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some cases, smart contracts can be controlled by one or more admin keys or users with special privileges, or “super-users.”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super-user or group of core members unilaterally make adverse changes to a smart contract, the design, functionality, features and value of the smart contract and its related digital assets may be harmed. In addition, digital assets held by the smart contract in reserves may be stolen, misused, burnt, locked up or otherwise become unusable or irrecoverable. These super-users can also become targets of hackers and malicious attackers. If an attacker is able to access or obtain the super-user privileges of a smart contract, or if a smart contract’s super users or core community members take actions that adversely affect the smart contract, our users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users to seek damages against us for their losses, result in reputational damage to us, or in other ways adversely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maintain adequate recordkeeping of electronic communications could expose the Company to regulatory risks, operational liabilities and reduce our ability to address legal 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Failure to maintain comprehensive records of written communications, especially those conducted through off-channel means (such as personal phones, private email accounts, or other devices), poses significant risks for us. Inadequate recordkeeping violates regulatory requirements set forth by the SEC. The inability to produce complete and accurate records during examinations can result in enforcement actions, fines, or even revocation of registration. Also, without proper documentation, we may face legal challenges. In the event of disputes, investigations, or litigation, the absence of records can weaken our legal position and hinder effective defense. Failing to capture texts, emails, instant messages, and other off-channel communications also creates operational vulnerabilities. These gaps may lead to misunderstandings, misrepresentations, or unauthorized actions that may cause harm to our brand or harm to our clients. Finally, personal devices used for off-channel communications may lack the same security protocols as firm-managed systems. This increases the risk of data breaches, leaks, or unauthorized access.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miners or validators of any supported digital asset demand high transaction fees, our operating results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charge dynamic withdrawal fees when a user sends certain digital assets from their Gemini account to a non-Gemini account. We estimate the blockchain network fee based on the cost that we will incur to process the withdrawal transaction on the underlying blockchain network. In addition, we also pay blockchain network fees when we move digital assets for various operational purposes, such as when we transfer digital assets between our hot and cold wallets, for which we do not charge our users. However, fees can be unpredictable and, if miners or validators demand higher transaction fees for recording transactions in the underlying blockchain network, the cost of using the applicable digital asset may increase and the marketplace may be reluctant to accept such digital asset as a means of payment. Alternatively, miners or validators could collude in an anti-competitive manner to reject 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fees and force users to pay higher fees. While we do not expect such behavior, higher transaction confirmation fees may adversely affect our business. Although we generally attempt to pass blockchain network fees relating to user withdrawals through to our users, if we must pay higher blockchain network fees relating to user withdrawals, we could incur losses associated with the payment of blockchain network fees in excess of what we currently charge for our services, resulting in adverse impacts on our operating results.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Future developments regarding the tax treatment of digital assets could adversely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 new and evolving nature of digital assets and the absence of comprehensive legal and tax guidance with respect to digital asset products and transactions, many significant aspects of the U.S. federal income tax treatment of transactions involving digital assets, such as the purchase and sale of digital assets on our platform, as well as the provision of staking rewards and other digital asset incentives and rewards products, are uncertain, and it is unclear whether, when, and what guidance may be issued in the future on the treatment of digital asset transactions for U.S. federal income tax purposes. Similar uncertainties may exist in the non-U.S. markets in which we operate or where our users are located, which could affect our non-U.S. user base.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2014, the IRS released Notice 2014-21 that sets forth the IRS’ position with respect to the treatment of certain aspects of “virtual currency” for U.S. federal income tax purposes and, in particular, stating that such virtual currency (i) is “property,” (ii) is not “currency” for purposes of the rules relating to foreign currency gain or loss, and (iii) may be held as a capital asset. From time to time, the IRS has released other notices and rulings relating to the tax treatment of virtual currency or digital assets reflecting the IRS’s position on certain issues. More recently, the U.S. Treasury Department and the IRS promulgated regulations in 2024 relating to information reporting obligations of certain broker-dealers in respect of digital asset transactions and to the computation of gain or loss upon the sale or other taxable disposition of digital assets. Nevertheless, the IRS has not addressed many other significant aspects of the U.S. federal income tax treatment of digital assets and related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continues to be some uncertainty with respect to the timing, character, and amount of income inclusions related to various digital asset transactions, including lending and borrowing digital assets, staking, and other digital asset incentives and products that we offer. Although we believe our treatment of digital asset transactions for U.S. federal income tax purposes is consistent with the applicable regulations and published positions of the IRS and/or existing U.S. federal income tax principles, because of the rapidly evolving nature of digital asset innovations and the increasing variety and complexity of digital asset transactions and products, it is possible the IRS could disagree with our treatment of certain digital asset offerings for U.S. federal income tax purposes, which could adversely affect our users and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IRS will not change its positions with respect to the U.S. federal income tax treatment of digital assets or digital asset transactions or that a court would sustain the treatment set forth in the published positions of such tax authorities. Similarly, there can be no assurance that legislation would not be enacted that could modify the tax treatment of digital asset transactions in the United States or in any of the other jurisdictions where we operate. Any such developments could result in adverse tax consequences for holders of digital assets and could adversely affect digital asset markets and the value of digital assets. In addition, technological and operational developments related to digital assets may increase the uncertainty with respect to the treatment of digital assets for applicable tax purposes, which could impact our users and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tax information reporting obligations with respect to digital asset transactions are subject to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believe we are compliant with U.S. tax reporting and withholding requirements with respect to our users’ digital asset transactions, the exact scope and application of such requirements is not entirely clear for all of the digital asset transactions on our platform. In November 2021, the U.S. Congress passed the Infrastructure Investment and JOBS Act, which provides that brokers would be responsible for reporting to the IRS the transactions of their users in digital assets, including transfers to other exchanges or non-exchanges. In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Treasury Department and the IRS finalized regulations and issued other administrative guidance on tax information reporting for digital assets (the “Final 6045 Regulations”) and introduced new rules that are applicable to our tax reporting and withholding obligations with respect to our user transactions. The U.S. Treasury Department and the IRS issued additional administrative guidance in 2025 that extends transitional relief provided by the 2024 administrative guidance.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expect to achieve the necessary milestones required to comply with U.S. tax reporting and withholding requirements set forth in the Final 6045 Regulations with respect to our users’ digital asset transactions, including the collection of IRS Forms W-9 and W-8 from our users, withholding obligations (effective beginning January 1, 2026), and IRS Form 1099-DA, Digital Asset Proceeds From Broker Transactions reporting obligations, there is a risk that we may not have proper processes and procedures necessary to comply with the Final 6045 Regulations or may not build systems within the required timelines to ensure compliance for certain users or transactions. If the IRS determines that we are not in compliance with our tax reporting, we may face penalties, including liability for backup withholding tax that is not properly withheld (beginning in 2027), interest charges, and fines, which could adversely affect our financial position. The IRS has issued a safe harbor for brokers who make a “good faith effort” to file the appropriate information returns and furnish associated payment statements accurately during the transitional relief period. The Final 6045 Regulations will require us to invest substantially in new compliance processes and procedures, which could also adversely affect our financial position. Further, the IRS has announced it intends to issue additional guidance, including reporting for assets transferred between wallets or exchanges, as well as implement the Crypto-Asset Reporting Framework proposed by the Organization for Economic Cooperation and Development (“OECD”), which may create additional compliance obligations that could adversely affect our financial position or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Relatedly, new rules for reporting digital assets, such as the global Common Reporting Standard and the OECD’s Crypto-Asset Reporting Framework, could be implemented in a manner that affects our international operations by requiring us to invest in new onboarding and reporting infrastructure. These new rules may also impose potential liabilities or disclosure requirements for prior user arrangements and new rules that affect how we onboard our users and report their transactions to the applicable taxing authorities. Any actual or perceived failure by us to comply with the above or any other emerging tax regulations that apply to our operations could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nature of our business requires the application of complex financial accounting rules, and there is limited guidance from accounting standard setting bodies on certain topics. If financial accounting standards undergo significant changes, our operating results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on March 31, 2022, the staff of the SEC issued SAB 121, which represented a significant change regarding how a company safeguarding digital assets held for its platform users reported such digital assets on its balance sheet. On January 23, 2025, the staff of the SEC issued SAB 122, which rescinded such interpretive guidance. Additionally, in December 2023, the FASB issued Accounting Standards Update No. 2023-08, Intangibles-Goodwill and Other-Crypto Assets (ASU 2023-08):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Effective as of January 1, 2024, we adopted ASU 2023-08,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requires us to measure digital assets held at fair value at each reporting date, with fair value gains and losses recognized through net income. Fair value gains and losses can increase the volatility of our net income, especially if the underlying digital asset market is volatile.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Uncertainties in or changes to regulatory or financial accounting standards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domestic U.S. exchanges, GTC and Gemini Moonbase, are subject to tangible net worth requirements in some states. While GTC has historically maintained a net worth in excess of the various thresholds, there have been instances in which it has fallen short of the tangible net worth requirements. This is due to the fact that a significant amount of the bitcoin held by GTC for its own account is deducted when calculating the tangible net worth requirement as a result of tangible net worth being computed in accordance with GAAP, which, presently, categorizes digital assets as intangible assets. Although GTC is presently in compliance with net tangible worth requirements, we cannot rule out the possibility of investigations or regulatory enforcement actions with respect to these requirements.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Regulatory and Legal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digital asset industry is still novel. As a result, many policymakers are just beginning to consider what a regulatory regime for digital assets would look like and the elements that would serve as the foundation for such a regime. This less developed consideration of digital assets may harm our ability to effectively react to proposed legislation and regulation of digital assets or digital asset platforms adverse to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digital assets have grown in both popularity and market size, various U.S. federal, state, and local and foreign governmental organizations, consumer agencies and public advocacy groups have been examining the operations of blockchain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Competitors, including traditional financial services,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digital asset space have engaged policymakers directly and with the help of external advisors and lobbyists. New laws and regulations may be proposed and adopted in the United States and internationally, or existing laws and regulations may be interpreted in new ways, that harm the digital asset space or digital asset platforms, which could adversely impact our business. Additionally, our political activities to further our mission may be perceived unfavorably by investors and the public and have an adverse impact on our brand and reputation.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2024 U.S. presidential election and change of administration has had a significant impact on the digital asset industry and our business in the United States, which will continue to depend in part upon the approach the administration continues to take with respect to the industry. For example, in January 2025, President Trump signed an Executive Order titled “Strengthening American Leadership in Digital Financial Technology,” which, among other things, stated that the current administration’s policy will be “to support the responsible growth and use of digital assets, blockchain technology, and related technologies across all sectors of the economy” by “providing regulatory clarity and certainty” regarding digital assets and blockchain technologies. The Executive Order also established an interagency working group that is tasked with “proposing a Federal regulatory framework governing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issuance and operation of digital assets” in the United States. Pursuant to this Executive Order, the working group released a report in July 2025 outlining the administration’s recommendations to Congress and various agencies reflecting the administration’s “pro-innovation mindset toward digital assets and blockchain technologies.” In particular, the report recommended that Congress enact legislation regarding self custody of digital assets, clarifying the applicability of Bank Secrecy Act obligations with respect to digital asset service providers, granting the CFTC authority to regulate spot markets in non-security digital assets, prohibiting the adoption of a central bank digital currency, and clarifying tax laws as relevant to digital assets. In addition, the report recommended that agencies reevaluate existing guidance on digital asset activities, use existing authorities to enable the trading of digital assets at the federal level, embrace DeFi, launch or relaunch crypto innovation efforts, and promote U.S. private sector leadership in the responsible development of cross-border payments and financial markets technologies, among others. In addition, more recently, the GENIUS Act, providing a regulatory framework for stablecoins, was signed into law and market structure legislation—the Digital Asset Market Clarity Act of 2025 (the “CLARITY Act”)—was passed by the U.S. House of Representatives.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although it appears that the current Chair of the SEC is taking a different approach to digital assets than was undertaken by the previous Chair, including with respect to rulemaking, formal and informal guidance, and enforcement decisions, there can be no assurance that the current Chair or the current administration will ultimately continue to enact rules or regulations that take a more favorable or significantly different approach toward the digital asset industry than the previous administration. For example, in January 2025, the SEC announced the launch of a new crypto task force “dedicated to developing a comprehensive and clear regulatory framework for crypto assets,” which “will collaborate with Commission staff and the public to set the SEC on a sensible regulatory path” regarding digital assets, including to “draw clear regulatory lines, provide realistic paths to registration, craft sensible disclosure frameworks, and deploy enforcement resources more judiciously.” More recently, in July 2025, Chairman Atkins announced “Project Crypto,” a Commission-wide initiative to modernize securities rules for digital assets, reshore innovation in the United States, and implement the recommendations of the report by the interagency working group tasked with “proposing a Federal regulatory framework governing the issuance and operation of digital assets.”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It may be illegal now, or in the future, to acquire, own, hold, sell, or use bitcoin or other digital assets, participate in blockchains or utilize similar digital assets in one or more countries, which would adversely affect our business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digital assets have grown in both popularity and market size, governments around the world have reacted differently to digital assets; certain governments have deemed them illegal, and others have allowed their use and trade without restriction, while in some jurisdictions, such as in the United States, subject to evolving regulatory requirements. As digital assets have grown in popularity and in market size, U.S. Congress, U.S. financial regulators, and certain U.S. agencies have increasingly begun to examine digital assets in more detail.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countries, including China, which have taken harsh regulatory action in the past, may take regulatory actions in the future that could severely restrict the right to acquire, own, hold, sell, or use these digital assets or to exchange them for fiat currency. In many countries, such as China, it is illegal to accept payment in cryptocurrencies for consumer transactions and banking institutions are barred from accepting deposits of digital assets. Such restrictions may adversely affect us as the large-scale use of digital assets as a means of exchange is presently confined to certain regions globally.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particular digital asset, digital asset transaction, or product or service offering’s status as a security or sold as part of a securities transaction in any relevant jurisdiction is subject to a high degree of uncertainty. If we incorrectly conclude that a digital asset, digital asset transaction, or product or service offering is not offered and sold as a security or securities transaction, we may be subject to regulatory scrutiny, inquiries, investigations, fines, and other penalties, which may adversely affect our business, operating results,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Several jurisdictions have taken a broad-based approach to classifying digital assets transactions, products, and services as securities or subject to their securities laws, while other jurisdictions have adopted a narrower approach. As a result, certain digital asset transactions, products or services may be deemed to be a security or securities transaction under the laws of some jurisdictions but not others. Determining whether any given digital asset is offered and sold in a securities transaction is a highly complex, fact-driven analysis, the outcome of which is difficult to predict and may evolve over time based on changes in a particular crypto asset and the way in which it is offered and sold. Different parties may reach different conclusions about the outcome of this analysis based on the same facts. For example, the SEC and its staff have previously taken the position that transactions involving many digital assets fall within the definition of a security under the U.S. federal securities laws. However, SEC officials have also indicated or implied through various mediums that it does not consider transactions in bitcoin or ether to be offered and sold in securities transactions. More recently, the SEC’s Division of Corporation Finance has published statements that it does not consider, under certain circumstances, “meme coins” or some stablecoins to be securities. However, such statements may be withdrawn at any time without notice and comment by the Division of Corporation Finance at the SEC or the SEC itself. In addition, the current Chair of the SEC has stated he believes most digital assets are not securities; however, this is not an official statement by the SEC, may not represent the agency’s views, and does not bind it. As a result, there is little certainty under applicable legal tests whether certain digital assets are or are not offered and sold in securities transactions, and any such determination has wide-ranging implications for the regulatory obligations that flow from the offer, sale, trading, and clearing of such assets, including licensing, registration, and qualification requirements. On March 17, 2026, the SEC issued an interpretation providing a token taxonomy under which certain categories of digital assets are not securities and addressing how a “non-security crypto asset” may become subject to, and cease to be subject to, an investment contract.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policies and procedures to analyze whether transactions in each digital asset on our platform, as well as our products and services, could be deemed to be a security under applicable laws. Although we perform ongoing monitoring of digital assets supported on our platform and we maintain a listing and delisting policy, our policies and procedures do not constitute a legal standard, but rather represent our company-developed assessment regarding the likelihood that a particular digital asset transaction, product, or service should be deemed a security or securities transaction under applicable laws. In the event that we determine that a supported digital asset has been ultimately determined to be a security or that the continued offering or sale of a digital asset presents a significant risk to us or our users, we aim to take prompt action to discontinue the trading of the digital asset. Regardless of our conclusions or actions, we could be subject to legal or regulatory action in the event the SEC, state regulators, a foreign regulatory authority, or a court were to determine that a digital asset transaction, product, or service currently or previously offered, sold, or traded on our platform is a securities transaction under applicable laws. In addition, such policies and procedures may not be sufficient to mitigate and address all risks. Excluding Gemini Galactic, which is not operational, our platform is not registered or licensed with regulators as a broker-dealer, national securities exchange, or alternative trading system (“ATS”) (or foreign equivalents), and we do not seek to register or rely on an exemption from such registration or license to allow the offer and sale of securities on our platform. We only permit trading on our platform of those digital assets for which we determine there are reasonably strong arguments to conclude that the digital asset is not a security. We believe that our process reflects a comprehensive and thoughtful analysis and is reasonably designed to facilitate consistent application of available legal guidance to digital assets to facilitate informed risk-based business judgment. However, we recognize that the application of securities laws to the specific facts and circumstances of digital assets may be complex and subject to change, and that a determination to offer a digital asset does not guarantee any conclusion under applicable securities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determination by a regulatory authority or court that transactions in a digital asset that we currently support on our platform constitute securities transactions may also result in us determining that it is advisable to remove such digital asset from our platform, as well as digital assets that have similar characteristics to such digital asset that was determined to be a security. In addition, we could be subject to judicial or administrative sanctions or other regulatory enforcement action for acting as a broker, dealer, or national securities exchange without appropriate registration. Any resolution of an SEC investigation of us or any similar regulatory enforcement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could result in injunctions, cease and desist orders, undertakings requiring the retention of compliance consultants or monitors, as well as civil monetary penalties, fines, and disgorgement, criminal liability, and reputational harm. Our employees, officers, and directors who are parties to any regulatory enforcement action can also be subject to officer and director bars, and associational bars and suspensions, all of which would limit or prohibit them from providing services to us. Users that traded a supported digital asset on our platform and suffered trading losses could also seek to rescind a trade on our platform as the basis that it was conducted in violation of applicable law, which could subject us to significant liability. We may also be required to cease facilitating transactions in the supported digital asset other than via our licensed subsidiaries, which could negatively impact our business, operating results, and financial condition. Furthermore, if we remove any digital assets from trading on our platform, our decision may be unpopular with users and may reduce our ability to attract and retain users, especially if such digital assets remain traded on unregulated exchanges, which includes many of our competitors. Finally, in connection with any regulatory enforcement action, the SEC also has statutory authority to censure, place limitations on the activities, functions or operations of, or suspend or revoke the registration of, our broker-dealer affiliate. Any remedies and/or the imposition of injunctions, cease and desist orders, or undertakings requiring the retention of compliance consultants or monitors, could require us to limit or cease trading activities in digital assets and other financial instruments in the United States, or cease U.S. operations entirely.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There is significant uncertainty regarding the status of staking activities under the U.S. federal securities laws, state law, and non-U.S.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significant regulatory uncertainty regarding the status of staking activities under the U.S. federal securities laws, state law, and non-U.S. law. In particular, staking activities, including our staking program, could be deemed to involve the offer and sale of securities and other regulated financial instruments to our users participating in the staking program. Various regulators have taken the position that certain staking programs are unlawful if not conducted as a compliant securities offering and other regulators may adopt similar positions with respect to their jurisdictions’ securities laws. In addition, we could determine in the future to terminate our staking program with respect to particular digital assets or in a particular jurisdiction if there is a heightened risk of being deemed to be a securities transaction. While we have implemented policies and procedures designed to help ensure that our staking feature remains compliant with existing and new laws and regulations, and while the staff of the SEC’s Division of Corporation Finance has previously stated that certain staking activities do not involve the offer and sale of securities, the statement is not binding on the SEC, potential private plaintiffs, or state regulators, and there can be no assurance that applicable regulatory authorities will agree with our assessment of applicable securities laws, or that we and our employees, contractors, and agents will not violate or otherwise fail to comply with such existing laws and regulations. To the extent that we or our employees, contractors, or agents are deemed or alleged to have violated or failed to comply with any laws or regulations applicable to staking, including related interpretations, orders, determinations, directives, or guidance, we or such persons could be subject to a litany of civil, criminal, and administrative fines, penalties, orders, and actions, including being required to modify, suspend, or terminate the offering of our staking programs. Any of the foregoing would materially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tokenization of securities could introduce substantial risks and uncertainties.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our wind down of operations in the region in February 2026 as part of the Plan, we had made tokenized securities (“Gemini Tokenized Stocks”) available to Gemini users in the E.U. Gemini Tokenized Stocks were tokenized tracker certificates that reflect the price of an underlying stock and allow the investor to gain exposure to the underlying asset via an onchain financial instrument. These products are designed to provide economic exposure to the price performance of certain stocks, without conveying legal ownership or shareholder rights, such as voting rights, related to such underlying stocks. Gemini Tokenized Stocks were issued by Dinari, Inc. and were offered to eligible E.U. users by our wholly-owned subsidiary, Gemini Intergalactic EU Artemis, Ltd.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(“Gemini E.U.”), which holds a MiFID license issued by the Malta Financial Services Authority. In February 2026, we announced a wind-down of our operations in the E.U. and we accordingly no longer offer this product.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for tokenized securities is nascent, and there can be no assurance that a liquid or orderly market for tokenized securities will develop or be sustained. Blockchain-based mechanisms, including decentralized exchanges, may have significantly less liquidity, volume, transparency, or regulatory oversight compared to national securities exchanges, such as Nasdaq. This could fragment liquidity across platforms, impair price discovery, widen bid-ask spreads, and lead to prolonged price discrepancies between tokenized and traditional forms of the same security—especially where arbitrage is limited by operational or regulatory constraints. To the extent we seek to tokenize our Class A common stock as a tokenized security in the future, this could introduce novel risks and operational complexities that could adversely impact the trading dynamics, price discovery, and liquidity of both the tokenized security and our actual Class A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market intermediaries may face unclear or evolving obligations when interacting with tokenized securities, and the application of U.S. federal securities laws and other regulations to the trading of tokenized securities remains uncertain. For example, in July 2025, the SEC Commissioner issued a statement noting that “tokenized securities are still securities,” and therefore transactions involving tokenized securities are subject to federal securities laws. More recently, in March 2026, the SEC Chairman made a statement that “only one crypto asset class remains subject to the securities laws: digital securities, namely traditional securities that are tokenized.” If offered and sold within the United States, which they currently are not, Gemini Tokenized Stocks might also be deemed to be security-based swaps. Advisory committees and staff of the CFTC have also discussed exploring a potential regulatory framework for tokenization of assets, including tokenized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Regulatory approaches outside of the U.S. are similarly in the early stages and vary by jurisdiction. This may prevent or discourage market intermediaries from holding, transacting, or facilitating transactions in tokenized securities, further limiting liquidity. Reduced liquidity in tokenized securities, whether due to general investor unfamiliarity, uncertain demand, operational friction, inefficient linkages between tokenized and traditional markets, or otherwise, could result in lower trading prices for such products. In addition, if regulatory authorities determine that the platforms, mechanisms, or participants involved in the secondary trading of tokenized securities do not comply with applicable law, we or such intermediaries could face enforcement actions or fines, or be required to unwind or restructure aspects of the project. These risks could lead to diminished investor confidence, reduced participation in the trading of tokenized securities, and corresponding negative effects on trading price, volatility and/or liquidity.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while our advertisements for and other publicity about Gemini Tokenized Stocks generally clearly stated that these products were only available to Gemini users in the E.U., it is possible that the SEC or a private plaintiff could seek to establish that such publicity involved offers of Gemini Tokenized Stocks to U.S. residents inconsistent with the registration provisions of the securities laws. Although we believe we would have substantial defenses to any such allegations, they could, if proven, subject us to liability under U.S. law.</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Tokenized securities are also subject to the broader risks associated with digital assets, including cybersecurity, technological failures, and operational risks, which could affect our reputation, financial condition, and operating results. See “—</w:t>
      </w:r>
      <w:r>
        <w:rPr>
          <w:rFonts w:ascii="Times New Roman;serif" w:hAnsi="Times New Roman;serif"/>
          <w:b w:val="false"/>
          <w:i/>
          <w:color w:val="000000"/>
          <w:sz w:val="20"/>
        </w:rPr>
        <w:t>Risks Relating to our Business and Industry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The applicability of certain preexisting laws and regulations to our prediction markets business is uncertain and regulatory or enforcement action a</w:t>
      </w:r>
      <w:r>
        <w:rPr>
          <w:rFonts w:ascii="Times New Roman;serif" w:hAnsi="Times New Roman;serif"/>
          <w:b w:val="false"/>
          <w:i/>
          <w:color w:val="000000"/>
          <w:sz w:val="20"/>
        </w:rPr>
        <w:t>g</w:t>
      </w:r>
      <w:r>
        <w:rPr>
          <w:rFonts w:ascii="Times New Roman;serif" w:hAnsi="Times New Roman;serif"/>
          <w:b/>
          <w:i/>
          <w:color w:val="000000"/>
          <w:sz w:val="20"/>
        </w:rPr>
        <w:t>ainst Gemini Predictions may adversely affect our prediction markets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 of Gemini Predictions may expose us to legal, regulatory, and other risks. As the prediction market industry is relatively nascent, it is difficult to predict how the legal and regulatory framework around prediction markets will develop and how such developments will impact our business and Gemini Predictions. In particular, although Gemini Predictions is operated through Gemini Titan, an affiliate that has been licensed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CFTC as a DCM, regulators or courts could determine that particular products, market types, or features of Gemini Predictions are impermissible, must be modified, or must be discontinued.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the CFTC has previously taken steps that could limit the types of event contracts that can be offered on CFTC-regulated entities and could impose additional regulations or restrictions around how such products are designed and offered, and has recently indicated it may pursue additional rulemaking and other regulatory actions relating to these products. If the CFTC’s approach evolves in a way that restricts certain categories of contracts (including sports-related contracts) or requires different product features or controls, we could be required to change, limit, or discontinue aspects of Gemini Predictions. In addition, regulators and courts may take different views about the interaction between federal commodities regulation and state gambling, wagering, or gaming laws. State regulators may seek to restrict the availability of certain prediction market products notwithstanding federal oversight, which could require us to geo-fence, modify, or suspend certain markets or limit access in some jurisdictions. A fragmented, state-by-state regulatory approach could require us to implement differing controls, restrict availability in certain jurisdictions, which may ultimately reduce adoption and revenue from Gemini Predictions. For example, in December 2025, the Connecticut Department of Consumer Protection issued cease-and-desist orders to multiple platforms, directing them to stop making available “sports event contracts” and other alleged unlicensed online gambling to Connecticut residents. In addition, in March 2026, Arizona brought criminal charges against Kalshi alleging that it was operating an illegal gambling business in violation of Arizona law by offering certain event contracts to Arizona residents and Nevada won a temporary restraining order to prevent Kalshi from offering certain event-based contracts in Nevada.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the New York Attorney General filed a petition against Gemini Titan alleging that Gemini Titan was operating an unlicensed gambling business and offering unauthorized sports wagering in New York through Gemini Predictions, and seeking injunctive relief, restitution, disgorgement, damages and civil penalties. If that petition or similar state actions or proceedings are successful, we may be required to restrict, modify, suspend or discontinue Gemini Predictions in certain jurisdictions, and we could incur substantial legal, compliance and remediation costs and suffer reputational harm, any of which could materially adversely affect our business, financial condition, results of operations and growth prospects.</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Certain transactions in digital assets on our digital asset exchange platform may constitute “retail commodity transactions” subject to regulation by the CFTC as futures contracts. If transactions in digital assets on our platform are deemed to be such retail commodity transactions, we would be subject to additional regulatory requirements, licenses and approvals, and potentially face regulatory enforcement, civil liability, and significant increased compliance and operational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Any transaction in a commodity, including digital assets deemed to be commodities, entered into with or offered to retail investors using leverage, margin, or other financing arrangements (a “retail commodity transaction”) is subject to CFTC regulation as a futures contract unless such transaction results in actual delivery within 28 days. The meaning of “actual delivery” has been the subject of commentary and litigation, and in 2020, the CFTC adopted interpretive guidance addressing the “actual delivery” of a digital asset, which the CFTC later withdrew in December 2025. To the extent that any leveraged, margined, or financed transactions in digital assets on our platform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Particular digital assets or transactions therein on our exchange platform could be deemed “commodity interests” (e.g., futures, options, swaps) or security-based swaps subject to regulation by the CFTC or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respectively. If a digital asset or digital asset transaction on our exchange platform is deemed a commodity interest or a security-based swap, we would be subject to additional regulatory requirements, registrations and approvals, and potentially face regulatory enforcement, civil liability, and significant increased compliance and operational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Commodity interests, as such term is defined by the CEA and CFTC rules and regulations, are subject to more extensive supervisory oversight by the CFTC, including registrations of entities engaged in, and platforms offering, commodity interest transactions. This CFTC authority extends to digital asset futures contracts and swaps, including transactions that are based on current and future prices of digital assets and indices of digital assets. To the extent that a transaction in digital assets on our platform is deemed to fall within the definition of a commodity interest, including pursuant to subsequent rulemaking or guidance by the CFTC, we may be subject to additional regulatory requirements and oversight and could be subject to judicial or administrative sanctions if we do not or did not at a relevant time possess appropriate CFTC registrations as an exchange (for example, as a swaps execution facility for trading swaps) or as a registered intermediary (for example, as a futures commission merchant or introducing broker). Such actions could result in injunctions, cease and desist orders, as well as civil monetary penalties, fines, and disgorgement, as well as reputational harm. The CFTC has previously brought enforcement actions against entities engaged in digital asset activities for failure to obtain appropriate exchange, execution facility, and intermediary registrations.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CFTC and the SEC have jointly adopted regulations defining “security-based swaps,” which include swaps based on single securities and narrow-based indices of securities. If a digital asset is deemed to be a security, certain transactions referencing that digital asset could constitute a security-based swap. A digital asset or transaction therein that is based on or references a security or index of securities, whether or not such securities are themselves digital assets, could also constitute a security-based swap. To the extent that a transaction in digital assets on our platform falls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 security-based swaps execution facility) or as a registered intermediary (for example, as a security-based swap dealer or broker). This could result in injunctions, cease and desist orders, as well as civil monetary penalties, fines, and disgorgement, as well as reputational harm.</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Gemini Credit Card is subject to various laws, regulations, and industry standards, all of which are subject to change and some of which are subject to uncertain interpretation.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Gemini Credit Card is subject to numerous laws, regulations, and industry standards. Applicable consumer protection laws and regulations include federal, state, and local laws relating to unfair, deceptive, and abusive acts and practices, disclosures, fair lending and anti-discrimination, marketing, solicitation, and cancellation practices, fees and interest rates, credit reports and credit bureau reporting, electronic fund transfers, service member protections, collections activity, data privacy, open banking and access to customer data, AML, and other topics. For example, the Credit Card Accountability, Responsibility, and Disclosure Act of 2009 (the “CARD Act”) imposes strict consumer protection rules, including limitations on interest rate increases, fee caps, and transparency requirements, to which the credit card product must also adhere. Failure to comply with the CARD Act can result in substantial penalties, restrictions, and other sanctions and relief that could affect our ability to provide access to competitive credit card terms and impact our revenues and user retention. Compliance with CARD Act requirements adds further complexity and operational costs, and evolving regulatory guidance or enforcement actions may increase these burdens over time.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credit card product is subject to industry standards, including the Payment Card Industry Data Security Standard (“PCI DSS”), which is a set of security standards created to ensure that all companies that process, store, or transmit credit card information maintain a secure environment. Compliance with PCI DSS is mandatory for companies that handle credit card transactions and requires adherence to stringent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procedures to safeguard sensitive cardholder data. Failure to meet PCI DSS requirements can lead to substantial fines, increased transaction fees, or the revocation of our ability to process credit card transactions, which could materially impact our business operations. Moreover, maintaining PCI DSS compliance is complex, costly, and requires regular audits, updates to our systems, and continuous monitoring of our security practices.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Changes in these laws, regulations, or standards, or to the prevailing interpretation thereof, may make complying with them even more challenging. Any failure to comply with the CARD Act, PCI DSS, or other applicable laws, regulations or industry standards, or the failure to accurately interpret how new laws, regulations, or industry standards apply to our business could result in costly legal challenges or expose us to regulatory enforcement actions, substantial fines, and reputational harm, which could negatively impact our business, operating results, and financial position. Such failure may also cause WebBank to terminate our relationship, subject us to an indemnity claim by WebBank, or otherwise have a material adverse impact on our credit card business. For more information with respect to risks related to our agreement with WebBank, see “—</w:t>
      </w:r>
      <w:r>
        <w:rPr>
          <w:rFonts w:ascii="Times New Roman;serif" w:hAnsi="Times New Roman;serif"/>
          <w:b w:val="false"/>
          <w:i/>
          <w:color w:val="000000"/>
          <w:sz w:val="20"/>
        </w:rPr>
        <w:t>Risks Relating to our Business and Industry—We rely on our agreement with WebBank to offer the Gemini Credit Card. If our relationship with WebBank were to end, the ability to continue to offer the Gemini Credit Card would be affected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Moreover, the crypto rewards provided in connection with the Gemini Credit Card are custodied and serviced by our wholly-owned subsidiaries, Gemini Trust Company, LLC ("GTC") and Gemini Constellation, LLC, respectively. Changes to laws and regulations applicable to GTC, and to the digital asset space generally, may materially and adversely impact our credit card business, including by affecting the manner in which Gemini Credit Card holders receive, maintain, and use their crypto rewards. For more information on the risks associated with changing laws and regulations, see “—</w:t>
      </w:r>
      <w:r>
        <w:rPr>
          <w:rFonts w:ascii="Times New Roman;serif" w:hAnsi="Times New Roman;serif"/>
          <w:b w:val="false"/>
          <w:i/>
          <w:color w:val="000000"/>
          <w:sz w:val="20"/>
        </w:rPr>
        <w:t>We are subject to an extensive, highly-evolving, and uncertain regulatory landscape and any adverse changes to, or our failure to comply with, any laws and regulations could adversely affect our brand, reputation, business, operating results, and financial condition</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continuously monitoring the state of regulation in each jurisdiction in which we operate. We cannot guarantee that we will be able to comply with all new and existing regulations being implemented with respect to digital asset service providers.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extensive laws, rules, regulations, policies, orders, determinations, directives, treaties, and legal and regulatory interpretations and guidance in the markets in which we operate, including those governing financial services and banking, federal government contractors, trust companies, securities, derivative transactions and markets, broker-dealers and ATS, commodities, credit, digital asset custody, exchange, and transfer, cross-border and domestic money and digital asset transmission, commercial lending, usury, foreign currency exchange, privacy, data governance, data protection, cybersecurity, fraud detection, payment services (including payment processing and settlement services), consumer protection, escheatment, antitrust and competition, bankruptcy, tax, anti-bribery, economic and trade sanctions, AML, and counter-terrorist financing. Many of these legal and regulatory regimes were adopted prior to the advent of the internet, mobile technologies, digital assets, blockchain technology, generative AI, and related technologies. As a result, some applicable laws and regulations do not contemplate or address unique issues associated with the digital asset industry, are subject to significant uncertainty, and vary widely across U.S. federal, state, and local and international jurisdictions. These legal and regulatory regimes, including the laws, rules, and regulations thereunder, evolve frequently and may be modified, interpreted, and applied in an inconsistent manner from one jurisdiction to another, and may conflict with one another. Moreover, the complexity and evolving nature of our business and the significant uncertainty surrounding the regulation of the digital assets requires us to exercise our judgment as to whether certain laws, rules, and regulations apply to us, and it is possible that governmental bodies and regulators may disagree with our conclusions, as has happened in the past. To the extent we have not complied with such laws, rules,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could be subject to significant fines, revocation of licenses, limitations on or temporary or permanent suspensions of our products and services, reputational harm, and other regulatory consequences, each of which may be significant and could adversely affect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digital asset industry. For example, following the failure of several prominent digital asset trading venues and lending platforms, such as FTX, Celsius Networks, Voyager, and Three Arrows Capital in 2022, U.S. policymakers expressed the need for both greater federal oversight of the digital asset space and comprehensive digital asset legislation.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Presently, and in the future, various governmental and regulatory bodies, including in the United States, may introduce new policies, laws, and regulations relating to digital assets. Other companies’ failures of risk management and other control functions, such as those that have occurred in the past, could accelerate an existing regulatory trend toward stricter oversight of digital asset platforms and the digital asset industry more generally. Furthermore, new interpretations of existing laws and regulations may be issued by such bodies or the judiciary, which may adversely impact the development of digital assets as a whole and our legal and regulatory status in particular by changing how we operate our business, how our products and services are regulated, and what products or services we and our competitors can offer, requiring changes to our compliance and risk mitigation measures, imposing new licensing requirements, or imposing a total ban on certain digital asset transactions, as has occurred in certain jurisdictions in the past. From time to time, the NYDFS issues guidance for virtual currency businesses in New York. For example, in November 2023, the NYDFS issued guidance regarding the listing of virtual currencies. This guidance and other applicable state law guidance regarding virtual currency business activity could result in changes to our business in such states as well as the risk of increased operational costs and the risk of enforcement actions. If we are unable to comply with any new requirements, our ability to offer our products and services in their current form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under recommendations from the FinCEN, and the Financial Action Task Force, the U.S. and several foreign jurisdictions have or are likely to impose the Funds Travel Rule and the Funds Transfer Rule (commonly referred to collectively as the “Travel Rule”) on financial service providers in the digital asset industry. We may face substantial costs to operationalize and comply with the Travel Rule and may be further subject to administrative sanctions for technical violations or user attrition if the user experience suffers as a result. In October 2023, FinCEN released a proposed rule that identifies virtual currency “mixing” as a class of transactions of primary money laundering concern and imposes heightened recordkeeping and reporting obligations for financial institutions with respect to those transactions. There are substantial uncertainties regarding the scope of these requirements in practice, and we may face substantial costs to operationalize and comply with these rules.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we offer and may in the future offer products and services whose functionality or value depends in part on our management of smart contracts, liquid staking, asset tracking, or other applications that provide novel forms of user engagement and interaction delivered via blockchain protocols. We may also offer products and services whose functionality or value depends on our ability to develop, integrate, or otherwise interact with such applications within the bounds of our legal and compliance obligations. The legal and regulatory landscape for such products, including the law governing the rights and obligations between and among smart contract developers and users and the extent to which such relationships entail regulated activity is uncertain and rapidly evolving. Our interaction with those applications, and the interaction of other blockchain users with any smart contracts or assets we may generate or control, could present legal, operational, reputational, and regulatory risks for our business. We may be further subject to administrative sanctions for technical violations or user attrition if the user experience suffers as a result.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have offered and will continue to offer a variety of innovative products and services to our users, such as Gemini Predictions, GUSD, and the Gemini Credit Card, many of our offerings are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regulatory uncertainty and we may, from time to time, face regulatory inquiries regarding our current and planned products. For instance, we are an issuer of GUSD, which is redeemable on a one-to-one basis for U.S. dollars. The regulatory treatment of fiat-backed stablecoins is highly uncertain and has drawn significant attention from legislative and regulatory bodies around the world. The issuance and resale of such stablecoins may implicate a variety of banking, deposit, money transmission, prepaid access and stored value, AML, commodities, securities, sanctions, and other laws and regulations in the United States and in other jurisdictions. Legislative efforts have also focused on setting criteria for stablecoin issuers and what rules will govern redeemability and collateral. For example, in July 2025, the GENIUS Act was signed into law, reflecting a legislative interest in establishing and developing frameworks for the regulation of stablecoins and digital assets more broadly. In 2025, the U.S. House of Representatives also passed the CLARITY Act in an effort to pass laws relating to digital asset market structure. There is substantial uncertainty on how any such legislation will apply in practice, and we may face substantial compliance costs to operationalize and comply with these rules.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our products and services incorporate digital engagement, including recommendations, incentives, notifications, educational content, and relevant news. Legislators and regulators in jurisdictions in which we operate have solicited comment from the public or proposed or adopted laws or regulations relating to the use of gamification, predictive analytics, or other digital engagement features or practices in various products and services, including potential conflicts of interest that may arise as a result of such practices. If such laws or regulations are adopted in jurisdictions in which we operate and deemed to apply to the products and services we offer, we could be required to change the way we market our offerings and interact with existing and prospective users or modify certain features contained within our products and services, any of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offer staking and credit card rewards, which are subject to significant regulatory uncertainty, and could implicate a variety of laws and regulations worldwide. For example, there is regulatory uncertainty regarding the status of our staking, rewards, and other yield-generating activities under the U.S. federal and state securities laws. While we have implemented policies and procedures, including geo-fencing for certain products and services, designed to help monitor for and ensure compliance with existing and new laws and regulations, there can be no assurance that we and our employees, contractors, and agents will not violate or otherwise fail to comply with such laws and regulations. Similarly, with respect to the Gemini Credit Card, interchange fees have been the subject of litigation and legislative attention in the past and might be the subject of future litigation. If payment networks are forced to reduce their interchange fees through litigation or otherwise, it may adversely impact our revenue, operating results, and financial position. To the extent that we or our employees, contractors, or agents are deemed or alleged to have violated or failed to comply with any laws or regulations, including related interpretations, orders, determinations, directives, or guidance, we or they could be subject to a litany of civil, criminal, and administrative fines, penalties, orders, and actions, including being required to suspend or terminate the offering of certain products and services. Moreover, to the extent our users nevertheless access our platform, products, or services outside of jurisdictions where we have obtained required governmental licenses and authorization, we could similarly be subject to a variety of civil, criminal, and administrative fines, penalties, orders, and actions as a result of such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and services are complex and involve new and evolving technologies, and it is therefore difficult to ensure they meet regulatory requirements across different jurisdictions. Before deciding whether to offer products and services in a jurisdiction, we intend to assess the jurisdiction, including by way of legal review, to determine whether and to what extent services and products will be offered. Legal and regulatory change, as well as technical constraints, may result in changes in the services or products available or in the categories of users that are able to access them in a particular jurisdiction. However, our decision for each jurisdiction will involve an assessment of our compliance with applicable law, and local regulators may disagree that our offering of services and products in the relevant jurisdiction is in compliance with applicable law. Further, it may not be possible or practical to obtain external advice across the full spectrum of legal and/or regulatory issues relevant to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all relevant jurisdictions, and certain issues may require us to make interpretive judgments with respect to unclear legal and regulatory requirements, and local regulators may disagree with our interpretations.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not yet operational, Gemini Galactic Markets, LLC ("Gemini Galactic"), our broker-dealer subsidiary, is subject to regulatory restrictions and requirements imposed by applicable statutes, regulations, and policies in the jurisdictions in which we operate. U.S. government agencies and self-regulatory organizations, including U.S. state securities commissions, are empowered to enforce the regulatory restrictions and requirements applicable to us and conduct administrative proceedings that can result in censure, fine, the issuance of cease and desist orders or the suspension or expulsion of a broker-dealer from registration or membership. Gemini Galactic is registered with the SEC and with all 50 U.S. states and is a member of the Financial Industry Regulatory Authority, Inc. (“FINRA”), a securities industry self-regulatory organization that supervises and regulates the conduct and activities of its members. As a registered broker-dealer, Gemini Galactic is subject to periodic examinations and investigations by FINRA. Further, Gemini Galactic is subject to the BSA, and the implementing regulations thereunder, which require financial institutions, including broker-dealers, to establish AML compliance programs, file suspicious activity and other reports with the U.S. government and maintain certain records. Broker-dealers must also implement related user identification procedures and beneficial ownership identification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our business activities, including, but not limited to, with respect to digital assets, prediction markets and credit cards, we are subject to ongoing examinations, oversight, and reviews and currently are, and expect to be in the future, subject to investigations and inquiries, by U.S. federal and state regulators and foreign financial service regulators, many of which have broad discretion to audit and examine our business. We are periodically subject to, and will in the future continue to be subject to, audits and examinations by these regulatory authorities. As a result of findings from these audits and examinations, regulators have required, are requiring, and may in the future require us to take certain actions. Such actions might include amending, updating, or revising our compliance measures, limiting the kinds of users that we provide services to, or delaying the introduction of new product and services. We have received, and may in the future receive, examination reports citing violations of rules and regulations, inadequacies in existing compliance programs, and requiring us to enhance certain practices with respect to our compliance program, including due diligence, monitoring, training, reporting, and recordkeeping. Implementing appropriate measures to properly remediate these examination findings may require us to incur significant costs, and if we fail to properly remediate any of these examination findings, we could face civil litigation, significant fines, damage awards, forced removal of certain employees including members of our executive team, barring of certain employees from participating in our business in whole or in part, revocation of existing licenses, limitations on existing and new products and services, reputational harm, negative impact to our existing relationships with regulators, exposure to criminal liability, or other regulatory consequences.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New laws, regulations, or interpretations may result in additional litigation, regulatory investigations, and enforcement or other actions, including preventing or delaying us from offering certain products or services offered by our competitors or could impact how we offer such products and services. Adverse changes to, or our failure to comply with, any laws and regulations have had, and may continue to have, an adverse effect on our reputation and brand and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expand our international operations, our obligations to comply with the laws, rules, regulations, and policies of a variety of jurisdictions will increase and we may be subject to inquiries, investigations, and enforcement actions by U.S. and non-U.S. regulators and governmental authorities, including those related to sanctions, export control, and AML.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expand and localize our international operations, we will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their scrutiny of digital asset exchanges over time, such as by requiring digital asset exchanges operating in their local jurisdictions to be regulated and licensed under local laws. Moreover, laws regulating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services, the internet, mobile technologies, digital assets, NFTs and related technologies outside of the United States are highly evolving, extensive and often impose different, more specific, or even conflicting obligations on us, as well as broader liability. In addition, we are required to comply with laws and regulations related to economic sanctions and export controls enforced by the U.S. Department of the Treasury’s Office of Foreign Assets Control (“OFAC”), the U.S. Department of Commerce’s Bureau of Industry and Security, and U.S. AML and counter-terrorist financing laws and regulations, enforced by FinCEN and certain state financial services regulators. U.S. sanctions and export control laws and regulations generally restrict dealings by persons subject to U.S. jurisdiction with certain jurisdictions that are the target of comprehensive embargoes, currently the Crimea Region, the Donetsk People’s Republic, and the Luhansk People’s Republic of Ukraine, Cuba, Iran, North Korea, and Syria, as well as with persons, entities, and governments identified on certain prohibited party lists. Moreover, as a result of the Russian invasion of Ukraine, the United States, the E.U., the United Kingdom, and other jurisdictions have imposed wide-ranging sanctions on Russia and Belarus and persons and entities associated with Russia and Belarus. There can be no certainty regarding whether such governments or other governments will impose additional sanctions, or other economic or military measures against Russia or Belarus. We do not operate in these countries and we have implemented additional processes and procedures to comply with these sanctions. However, any potential activity with users associated with these countries may subject us to further exposure to sanctions as they are released. We have an OFAC compliance program in place that includes, among other controls, monitoring of IP addresses to identify prohibited jurisdictions and of blockchain addresses that have either been identified by OFAC as prohibited or that otherwise are believed by us to be associated with prohibited persons or jurisdictions. Nonetheless, there can be no guarantee that our compliance program will prevent transactions with particular persons or addresses or prevent every potential violation of OFAC sanctions. From time to time, we have submitted voluntary disclosures to OFAC or responded to administrative subpoenas from OFAC, some of which are currently under review by OFAC. To date, none of those proceedings has resulted in a monetary penalty or adverse action. Any present or future government inquiries relating to sanctions could result in negative consequences for us, including costs related to government investigations, financial penalties, and harm to our reputation. The impact on us related to such matters could be substantial. Although we have implemented controls, and continuously work to enhance our controls and screening tools designed to promote sanctions compliance, there is no guarantee that we will not inadvertently provide access to our products and services to sanctioned parties or jurisdictions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Regulators worldwide frequently study each other’s approaches to the regulation of the digital asset space.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complexity of U.S. federal and state and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 and business, and adversely affect our operating results and financial condition. Due to the uncertain application of existing laws and regulations, it may be that, despite our regulatory and legal analysis concluding that certain products and services are currently unregulated, such products or services may indeed be subject to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 Engaging in cross-border business can make it difficult for us to ensure that we adequately protect our legal rights and interests. We may incur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liability from breaching our legal obligations or may not be able to enforce legal rights and obligations or to enforce them consistently and predictability across these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and may continue to be, 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p>
    <w:p>
      <w:pPr>
        <w:pStyle w:val="TextBody"/>
        <w:bidi w:val="0"/>
        <w:spacing w:lineRule="auto" w:line="288" w:before="0" w:after="0"/>
        <w:jc w:val="both"/>
        <w:rPr/>
      </w:pPr>
      <w:r>
        <w:rPr>
          <w:rFonts w:ascii="Times New Roman;serif" w:hAnsi="Times New Roman;serif"/>
          <w:b w:val="false"/>
          <w:color w:val="000000"/>
          <w:sz w:val="20"/>
        </w:rPr>
        <w:br/>
        <w:t xml:space="preserve">    We have been, currently are, and may from time to time become subject to claims, arbitrations, individual and class action lawsuits, government and regulatory investigations, inquiries, actions, or requests, including with respect to both consumer and employment matters, and other proceedings alleging violations of laws, rules, and regulations, both foreign and domestic. For example, we are currently subject to a purported federal securities class action and a shareholder derivative action, which are described in </w:t>
      </w:r>
      <w:r>
        <w:rPr>
          <w:rFonts w:ascii="Times New Roman;serif" w:hAnsi="Times New Roman;serif"/>
          <w:b w:val="false"/>
          <w:i/>
          <w:color w:val="000000"/>
          <w:sz w:val="20"/>
        </w:rPr>
        <w:t>Note 22. Commitments and Contingencies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23. Subsequent Events</w:t>
      </w:r>
      <w:r>
        <w:rPr>
          <w:rFonts w:ascii="Times New Roman;serif" w:hAnsi="Times New Roman;serif"/>
          <w:b w:val="false"/>
          <w:color w:val="000000"/>
          <w:sz w:val="20"/>
        </w:rPr>
        <w:t>, respectively, to our unaudited condensed consolidated financial statements included in Part I, Item 1 of this Quarterly Report on Form 10-Q. The scope, determination, and impact of claims, lawsuits, government and regulatory investigations, enforcement actions, disputes, and proceedings to which we are subject cannot be predicted with certainty, and may result in: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 payments to satisfy judgments, fines, or penalties;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 outside counsel legal fees and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compliance and licensure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loss or non-renewal of existing licenses or authorizations, or prohibition from or delays in obtaining additional licenses or authorizations, required for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loss of productivity and high demands on employee time;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criminal sanctions or consent decrees;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termination of certain employees, including members of our executive team;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barring of certain employees from participating in our business in whole or in part;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orders that restrict our business or prevent us from offering certain products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our business model and practices;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delays to planned transactions, product launches, or improvements;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damage to our brand and reputation.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our large user base, actions against us may claim large monetary damages, even if the alleged per-user harm is small or non-existent. Regardless of the outcome, any such matters can have an adverse impact, which may be material, on our business, operating results, or financial condition because of legal costs, diversion of management resources, reputational damage, and other factors.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compliance and risk management methods might not be effective and may result in a regulatory enforcement action and other outcomes that could adversely affect our reputation, operating results,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comply with applicable complex and evolving laws, regulations, and rules is largely dependent on the establishment, maintenance, and scaling of our compliance, internal audit, and reporting systems to continuously keep pace with our user activity and transaction volume, as well as our ability to attract and retain qualified compliance and other risk management personnel. While we have devoted significant resources to develop policies and procedures to identify, monitor, and manage our risks, and expect to continue to do so in the future, we cannot assure you that our policies and procedures are and will always be effective or that we have been and will always be successful in monitoring or evaluating the risks to which we are or may be exposed in all market environments, including unidentified or unanticipated risks.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also involve reliance on standard industry practices. These methods may not adequately prevent losses, particularly as they relate to extreme market movements, which may be significantly greater than historical fluctuations in the market. In the future, we may identify gaps in such policies and procedures or existing gaps may become higher risk, and may require significant resources and management attention. Our risk management policies and procedures also may not adequately prevent losses due to technical errors if our testing and quality control practices are not effective in preventing failures. In addition, we may elect to adjust our risk management policies and procedures to allow for an increase in risk tolerance, which could expose us to the risk of greater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Regulators periodically review our compliance with our own policies and procedures and with a variety of laws and regulations. We have received in the past and may from time to time receive additional examination reports citing violations of rules and regulations and inadequacies in existing compliance programs, and requiring us to enhance certain practices with respect to our compliance program, including due diligence, training, monitoring, reporting, and recordkeeping. If we fail to comply with these, or do not adequately remediate certain findings, regulators could take a variety of actions that could impair our ability to conduct our business, including, but not limited to, delaying, denying, withdrawing, or conditioning approval of certain products and services. In addition, regulators have broad enforcement powers to censure, fine, issue cease and desist orders, prohibit us from engaging in some of our business activities, or revoke our licenses. We face significant intervention by regulatory authorities, including extensive examination and surveillance activities, and will continue to face the risk of significant intervention by regulatory authorities in the future. In the case of non-compliance or alleged non-compliance, we could be subject to investigations and proceedings that may result in substantial penalties or civil lawsuits, including by users, for damages which can be significant. Any of these outcomes would adversely affect our reputation and brand and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consolidated balance sheets may not contain sufficient amounts or types of regulatory capital to meet the changing requirements of our various regulators worldwide, which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required to possess sufficient financial soundness and strength to adequately support our regulated subsidiaries. We may from time to time incur indebtedness and other obligations which could make it more difficult to meet these capitalization requirements or any additional regulatory requirements. In addition, although we are not a bank holding company for purposes of United States law or the law of any other jurisdiction, as a global provider of financial services and in light of the changing regulatory environment in various jurisdictions, we could become subject to new capital requirements introduced or imposed by the United States and international regulators. Any change or increase in these regulatory requirements could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operating subsidiaries licensed to, among other things, engage in money transmission in the United States and operate as a limited purpose trust company and conduct virtual currency business activity in New York, we are subject to strict rules governing how we manage and hold user fiat currency and digital assets. We maintain complex treasury operations to manage and move user fiat currency and digital assets across our platforms and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comply with regulatory requirements. However, it is possible we may experience errors in fiat currency and digital asset handling, accounting, and regulatory reporting that lead us to be out of compliance with these requirements. In addition, regulators may increase the amount of fiat currency reserves that we are required to maintain for our operations, as has happened in the past. Non-compliance with regulatory capital requirements may lead to sanctions, penalties, changes to our business operations, or the revocation of licenses. Frequent launch of new products and services increases these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GTC is subject to certain regulatory capital requirements imposed by NYDFS. The capital requirement can be maintained in specified allocations of cash, virtual currency, or high-quality, highly liquid, investment-grade assets. The capital requirement is determined by NYDFS based upon GTC’s activities and is an amount deemed sufficient to ensure the financial integrity of the licensee and its ongoing operations based on an assessment of the specific risks applicable to it. The amounts set aside to satisfy these requirements are included in the consolidated balance sheets included in our financial statements appearing elsewhere in this Quarterly Report on Form 10-Q.</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significant legal and compliance risks and expenses relating to the NYDFS Cybersecurity Regulation.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NYDFS Cybersecurity Regulation requires covered entities, including limited purpose trust companies such as GTC, to establish and maintain a cybersecurity program designed to protect the confidentiality, integrity, and availability of our information systems. This includes, but is not limited to, developing a written policy or policies that address a number of key areas of cybersecurity, and conducting ongoing, comprehensive risk assessments. Further, on an annual basis, each institution is required to submit a certification of compliance with these requirements. In addition, the NYDFS Cybersecurity Regulation contains specific requirements with respect to third-party service provider security, cybersecurity personnel and intelligence, the use of multi-factor authentication, penetration testing and encryption of nonpublic information, which is defined to include not only personal information but also business-related information that, if accessed or acquired by an unauthorized third party, would cause a material adverse effect on the business, operations, or security of the covered entity. The NYDFS has previously brought enforcement actions, which involve civil monetary penalties. In the event of a cybersecurity incident, GTC could be subject to potentially significant monetary penalties and required to undertake expensive remediation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Any failure to obtain or maintain necessary money transmission registrations and licenses could adversely affect our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 our U.S. exchanges, GTC and Gemini Moonbase, we currently operate as a money transmitter in all 50 states and have obtained the requisite money transmitter licenses to the extent that the laws and regulations of such states clearly indicate that a license is required or where state regulators have advised us that we need a license to operate. In the U.S., we are registered as a money services business with FinCEN and are currently also licensed to operate as a money transmitter in various states. We also currently operate in states where we do not believe we are required, or have been informed by the relevant jurisdiction that we are not required, to obtain money transmitter licenses or any other required licenses. This belief is based on our analysis of the applicable laws and regulations and/or our communications with the regulators in the relevant jurisdiction. If our licenses are not renewed, we are denied licenses in additional states or jurisdictions where we choose to apply for a license, or jurisdictions where we believe a license is not required require a license in the future, we could be forced to seek a license or change our business practices.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xml:space="preserve">    As a money services business and a money transmitter, we are subject to a range of legal obligations and requirements including bonding, net worth maintenance, user notice and disclosure, reporting, recordkeeping and cybersecurity requirements, and obligations that apply to the safeguarding of third-party funds and crypto assets. In addition, the licensed entities within our corporate structure are subject to inspection and examination by the state licensing agencies and certain actions involving those entities, such as changes in controlling equity holders,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members, and senior management, may require regulatory approval. Further, if we were found by these regulators to be in violation of any applicable laws, rules, or regulations, we could be subject to fines, penalties, lawsuits, and enforcement actions, additional compliance requirements, increased regulatory scrutiny of our business, restriction of our operations, or damage to our reputation or brand. Regulatory requirements are constantly evolving, and we cannot predict whether we will be able to meet changes to existing regulations or the introduction of new regulations without such compliance harming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jurisdictions have enacted rules that require money transmitters, money services businesses, or virtual currency businesses to establish and maintain transaction monitoring, filtering, screening, and cybersecurity programs. Wherever we are subject to these rules, we are required to adopt business practices that require additional expenditures and impact our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if federal, state, or international regulators were to take actions that limit or prohibit us or our business partners from continuing to operate our business or their businesses as currently operated, whether by imposing additional requirements, compliance obligations, or sanctions, such actions could harm our business. Any change to our business practices that makes our service less attractive to users or prohibits use of our products or services by residents of a particular jurisdiction could decrease our transaction volume and harm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obtain and process a large amount of personal data, including sensitive data. Any real or perceived improper use of, disclosure of, or access to such data could harm our reputation, as well as have an adverse effect on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exchange, credit card program, and otherwise, we obtain and process large amounts of personal data, including personal data related to our users and their transactions, such as their names, addresses, and trading data, as well as sensitive data related to our users, such as their social security numbers, copies of government-issued identification, tax identification, and bank account information. In addition, our credit card business may involve the collection and storage of payment card information, transaction histories, and user spending patterns, all of which carry distinct privacy and regulatory risks. We face risks, including to our reputation, in the handling and protection of this data, and these risks will increase as our business continues to expand, including through our acquisition of, and investment in, other companies and technologies. Federal, state, and international laws and regulations governing privacy, data protection, and e-commerce transactions require us to safeguard our users’, employees’, and service providers’ personal data.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administrative, technical, and physical security measures and controls in place and strive to maintain a robust information security program. However, our security measures, or the security measures of companies we acquire, may be inadequate or breached as a result of third-party action, employee, or service provider error, malfeasance, malware, phishing, hacking attacks, system error, trickery, advances in computer capabilities, new discoveries in the field of cryptography, inadequate facility security, or otherwise, and, as a result, someone may be able to obtain unauthorized access to sensitive information, including personal data, on our systems. Such threats may see their frequency increased and effectiveness enhanced by the use of AI. In particular, unauthorized access to sensitive payment card information could expose us to enhanced privacy risks, regulatory penalties, and user remediation obligations. We could be the target of a cybersecurity incident, which could result in harm to our reputation and financial losses. Additionally, our users have been and may in the future be targeted in cybersecurity incidents like an account takeover, which could result in harm to our reputation and financial losses. For example, in 2022, certain of our third-party vendors and suppliers experienced data breaches, which resulted in the exposure of the email addresses and truncated phone numbers of certain of our users, and corresponding notification to those users and applicable regulators. Further, in June 2024, an unauthorized actor breached the systems of a service provider of one of our third-party ACH banking partners, affecting approximately 15,000 of our users, resulting in notification to those users and applicable regulators. In each case, there were no material failures of our technology systems. Privacy and data protection laws are subject to uncertainty and continue to evolve in ways that could adversely impact our business. These laws may be interpreted and applied in a manner that is inconsistent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data handling safeguards and practices, which could result in fines, lawsuits, restrictions, and other penalties, and significant changes to our or our third-party partners’ business practices, products, and service offerings. We may also have to stop using certain tools and vendors and make other operational changes, which could be costly and time consuming and could adversely affect our business and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on the reliability and security of our platform. To the extent that the measures we, any companies we acquire, or our third-party business partners have taken prove to be insufficient or inadequate, or to the extent we discover a security breach suffered by a company we acquire following the closing of such acquisition, we may become subject to litigation, breach notification obligations, user remediation obligations, or regulatory or administrative sanctions, which could result in significant fines, penalties, damages, restrictions, harm to our reputation, or loss of users. Given the volume of sensitive information required to operate our credit card business, the consequences of any unauthorized disclosure or improper access to this data could be particularly severe, leading to potential reputational harm, regulatory scrutiny, or penalties, restrictions and other relief under sector-specific privacy or data security standards, such as the PCI DSS. If our own confidential business information or sensitive user information were improperly disclosed, our business could be adversely affected. Additionally, a party who circumvents our security measures could, among other effects, misappropriate user information or other proprietary data, cause interruptions to our operations, or expose our users to hacks, viruses, and other disruptions.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Depending on the nature of the information compromised, in the event of a data breach or other unauthorized access to our user data, we may also have obligations to notify users and regulators about the incident, and we may need to provide some form of remedy, such as a subscription to credit monitoring services, pay significant fines to one or more regulators, or pay compensation in connection with a class-action settlement (including under the private right of action under the California Consumer Privacy Act of 2018, as amended (the “CCPA”), which took effect in 2020 and is expected to increase security breach litigation). Such breach notification laws continue to evolve and may be inconsistent from one jurisdiction to another. In the United States, the SEC has adopted rules for mandatory disclosure of cybersecurity incidents suffered by public companies, as well as governance and management of cybersecurity risks (including board oversight thereof). Complying with these obligations could cause us to incur substantial costs and could increase negative publicity surrounding any incident that compromises user data. 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The complex and evolving requirements of privacy regulations applicable to our credit card business further increase our compliance burden and potential exposure in the event of any security incidents involving personal or payment-related data. Any of the foregoing could have an adverse effect on our business, reputation,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we may be required to disclose personal data pursuant to demands from individuals, regulators, government agencies, and law enforcement agencies in various jurisdictions with conflicting privacy and security laws, which could result in a breach of privacy and data protection policies, notices, laws, rules, court orders, or regulations. Additionally, changes in the laws and regulations that govern our collection, use, and disclosure of user data could impose additional requirements with respect to the retention and security of user data (especially as these requirements pertain to sensitive payment and transaction data processed by our credit card business), limit our marketing activities, and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are subject to laws, regulations, and industry requirements related to data privacy, data protection and information security, AI, and user protection across different markets where we conduct our business, and such laws, regulations, and industry requirements are constantly evolving and changing. Any actual or perceived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comply with such laws, regulations, and industry requirements, or our privacy policies, could harm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Various local, state, federal, and international laws, directives, and regulations apply to our collection, use, retention, protection, disclosure, transfer, and processing of personal data. These data protection and privacy laws and regulations are subject to uncertainty and continue to evolve in ways that could adversely impact our business. These laws have a substantial impact on our operations both outside and in the United States, either directly as a data controller or as a data processor and handler for various offshore entities. Compliance with these laws, regulations, rules, and standards may require us to change our policies, procedures, and technology for cybersecurity, which could, among other things, make us more vulnerable to operational failure and to monetary penalties for breach of such laws, regulations, rules and standards. The data privacy and cybersecurity regulatory landscape is increasingly stringent and fragmented across different jurisdictions, leading to compliance challenges, governance costs, and potential liabilities.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state and federal lawmakers and regulatory authorities have increased their attention on the collection and use of user data. In the United States, non-sensitive user data generally may be used under current rules and regulations, subject to certain restrictions, so long as the person does not affirmatively “opt-out” of the collection or use of such data. If an “opt-in” model or additional required “opt-outs” were to be adopted in the United States, less data may be available, and the cost of data likely would increase. For example, California enacted the CCPA, which requires covered companies to, among other things, provide new disclosures to California users, and affords such users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Other state legislatures have also adopted data privacy legislation relating to privacy, data security, data breaches, and the protection of sensitive and personal information, with which we must comply, except to the extent exempted or preempted by federal law, such as the Gramm-Leach-Bliley Act. For example, in 2021, Virginia passed the Consumer Data Protection Act (the “CDPA”) (effective January 2023) and Colorado passed the Colorado Privacy Act (the “CPA”) (effective July 2023) to provide comparable consumer privacy rights to the CCPA. A number of other states’ comprehensive privacy laws became effective in 2024, including Texas Data Privacy and Security Act (the “TDPSA”) (effective July 2024) and the Oregon Consumer Privacy Act (the “OCPA”) (effective July 2024). In the future, additional states could also adopt data privacy legislation, which may include more stringent data privacy requirements. We cannot predict the impact of the CCPA, CDPA, CPA, TDPSA, OCPA, or other similar laws or regulations on our business or operations, but compliance therewith may require us to modify our data processing practices and policies incurring costs and expense. Further, to the extent multiple state-level laws are introduced with inconsistent or conflicting standards, it may require costly and difficult efforts to achieve compliance with such laws. Our failure or perceived failure to comply with the CCPA, CDPA, CPA, TDPSA, OCPA, or other similar laws or regulations passed in the future could have a material adverse effect on our business, including how we use personal information,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many foreign countries and governmental bodies, including the European Union, Singapore, United Kingdom, Switzerland, and numerous other jurisdictions in which we currently operate, previously operated, or conduct our business, have laws and regulations concerning the collection, use, processing, storage, and deletion of personal information obtained from their residents or by businesses operating within their jurisdictions. These laws and regulations may be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require that certain types of data be retained on local servers within these jurisdictions, and, in some cases, obtain individuals’ affirmative opt-in consent to collect and use personal information for certain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our former presence in Europe and our prior service offerings in the European Union and the United Kingdom, we remain subject to the General Data Protection Regulation (the “E.U. GDPR”) and the U.K. General Data Protection Regulation (the “U.K. GDPR”) with respect to the processing of personal data we processed or continue to process relating to individuals in those jurisdictions, wherever that processing occurs. The E.U. GDPR and U.K. GDPR include operational requirements for companies that receive or process personal data and impose stringent data protection requirements, which could increase the risk of non-compliance and the costs of maintaining our data processing activities in a compliant manner. Failure to meet E.U. GDPR and U.K. GDPR requirements could result in significant penalties (including, under the E.U. GDPR, penalties of up to €20 million or 4% of our worldwide net trading income, whichever is greater), regulatory investigations, reputational damage, fines and sanctions, orders to cease or change our processing of our data, and other notices. We may also face civil claims including representative actions and other class action type litigation, potentially amounting to significant compensation or damages liabilities, as well as associated costs, diversion of internal resources, and reputational harm (for example, the E.U. GDPR confers a private right of action on data subjects and consumer associations).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both the E.U. GDPR (covering the European Economic Areas) and the U.K. GDPR impose strict rules on the transfer of personal data out of the European Union or the United Kingdom to a “third country,” including the United States. We currently rely on standard contractual clauses and related transfer mechanisms (as applicable) for certain intragroup and third-party data transfers, and if we are required to implement additional mechanisms, make other operational changes, or cease or limit certain transfers, it could affect the manner in which we process personal data and provide our services, increase our costs, or adversely affect our business, operating results, and financial condition. As supervisory authorities continue to issue further guidance on personal data, we could suffer additional costs, complaints, or regulatory investigations or fines; we may have to stop using certain tools and vendors and make other operational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are exiting and winding down operations in the United Kingdom, the European Union, and other European jurisdictions, our prior activities and continued processing of certain personal data may continue to subject us to these requirements and related liabilities, and any failure to comply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conscious of the extensive and evolving regulatory frameworks in the jurisdictions in which we operate. For instance, the overall regulatory framework governing the application of privacy laws to blockchain technology is still highly undeveloped and likely to evolve. Further, there are changes in the regulatory landscape relating to new and emerging technologies, such as generative AI, which we have found and continue to find new ways to leverage in our products and internal operations. Our failure, or the failure by our third-party service providers or partners, to comply with applicable laws or regulations and to prevent unauthorized access to, or use or release of personal data, or the perception that any of the foregoing types of failure has occurred, even if unfounded, could subject us to audits, inquiries, whistleblower complaints, adverse media coverage, investigations, severe criminal, or civil sanctions, damage our reputation, or result in fines or proceedings by governmental agencies and private claims and litigation, any of which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required to comply with consumer protection laws in various jurisdictions, which may lead to increased costs of compliance, potential investigations, fines, remedial requirements, potential actions by consumers against us, such as user complaints and claims for losses, as well as not being able to enforce contracts and/or other rights against our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comply with consumer protection laws in various jurisdictions that focus on protecting the rights of consumers. Laws and regulations relating to consumer protection are evolving and subject to potentially differing interpretations. These requirements may be interpreted and applied in a manner that is inconsistent from one jurisdiction to another or may conflict with other rules or our practices. We may in the future become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investigation and enforcement action by local, national, and international consumer protection agencies, which monitor user complaints against us and, from time to time, escalate matters for investigation and potential enforcement against us. Any failure, or perceived failure, by us to comply with consumer protection-related laws and regulations to which we may be subject or other legal obligations relating to consumer protection could lead to increased costs of compliance, potential investigations, fines, remedial requirements, reputational damage, potential actions by consumers against us, such as user complaints and claims for losses, as well as not being able to enforce contractual and/or other rights against our users, which may result in adverse impact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acceptance of various payment methods exposes us to evolving rules, regulations, and compliance requirements. Non-compliance may adversely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accept payments using a variety of methods, which subjects us to rules, regulations, contractual obligations, and compliance requirements, including payment card association operating rules, certification requirements and operating guidelines, data security standards and certification requirements, and rules governing electronic funds transfers. These requirements may change over time or be reinterpreted, making compliance more difficult or costly. Although no system can completely prevent theft, we have security countermeasures in place to reduce the potential for fraud and theft by criminals. If we fail to comply with applicable rules and regulations, we may be subject to fines or higher transaction fees and may lose our ability to accept online payments or other payment card transactions. If any of these events were to occur,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were deemed to be an investment company under the Investment Company Act of 1940 (the “1940 Act”), applicable restrictions likely would make it impractical for us to continue our business as currently contemplated.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Sections 3(a)(1)(A) and (C) of the 1940 Act, a company generally will be deemed to be an “investment company”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Rule 3a-1 under the 1940 Act generally provides that notwithstanding the Section 3(a)(1)(C) test described in clause (ii) above, an entity will not be deemed to be an “investment company” for purposes of the 1940 Act if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 We do not believe that we are an “investment company” as such term is defined in either Section 3(a)(1)(A) or Section 3(a)(1)(C) of the 1940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hold ourselves out as being engaged primarily, or propose to engage primarily, in the business of investing, reinvesting, or trading in securities within the meaning of Section 3(a)(1)(A) of the 1940 Act. However, our assessment of our business is not binding on the SEC or any federal court that would consider our status as an investment company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Section 3(a)(1)(C), we believe we satisfy the elements of Rule 3a-1 and therefore are deemed not to be an investment company under, and we intend to conduct our operations such that we will not be deemed an investment company under, Section 3(a)(1)(C). We believe that we are not an investment company pursuant to Rule 3a-1 under the 1940 Act because, on a consolidated basis with respect to wholly-owned subsidiaries but otherwise on an unconsolidated basis, no more than 45% of the value of our total assets (exclusive of U.S. government securities and cash items) consists of, and no more than 45% of our net income after taxes (for the last four fiscal quarters combined) is derived from, securities other than U.S. government securities,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issued by employees’ securities companies, securities issued by our qualifying majority owned subsidiaries, and securities issued by qualifying companies that are controlled primarily by us. Moreover, even if we were to fail the 40% test in Section 3(a)(1)(C), and not be able to rely on Rule 3a-1, under Section 3(b)(1) of the 1940 Act an entity is not an investment company if it is primarily engaged, directly or through a wholly-owned subsidiary or subsidiaries, in a business or businesses other than that of investing, reinvesting, owning, holding, or trading in securities. We believe that we meet the Section 3(b)(1) standard.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Digital assets, as well as new business models and transactions enabled by blockchain technologies, present novel interpretive questions under the 1940 Act. There is a risk that assets or arrangements that we have concluded are not securities could be deemed to be securities by the SEC or another authority for purposes of the 1940 Act, which would increase the percentage of securities held by us for 1940 Act purposes. The SEC has requested information from a number of participants in the digital assets ecosystem regarding the potential application of the 1940 Act to their businesses. For example, in an action unrelated to us or any of our subsidiaries, in February 2022, the SEC issued a cease-and-desist order under the 1940 Act to BlockFi Lending LLC, in which the SEC alleged that BlockFi was operating as an unregistered investment company because it issued securities and also held more than 40% of its total assets, excluding cash, in investment securities, including the loans of digital assets made by BlockFi to institutional borrowers.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deemed to be an investment company, Rule 3a-2 under the 1940 Act is a safe harbor that provides a one-year grace period for transient investment companies that have a bona fide intent to be engaged primarily, as soon as is reasonably possible (in any event by the termination of such one-year period), in a business other than that of investing, reinvesting, owning, holding, or trading in securities, with such intent evidenced by the Company’s business activities and an appropriate resolution of its board of directors. The grace period is available not more than once every three years and runs from the earlier of (i) the date on which the issuer owns securities and/or cash having a value exceeding 50% of the issuer’s total assets on either a consolidated or unconsolidated basis or (ii) the date on which the issuer owns or proposes to acquire investment securities having a value exceeding 40% of the value of such issuer’s total assets (exclusive of U.S. government securities and cash items) on an unconsolidated basis. Accordingly, the grace period may not be available at the time that we seek to rely on Rule 3a-2; however, Rule 3a-2 is a safe harbor and we may rely on any exemption or exclusion from investment company status available to us under the 1940 Act at any given time. Furthermore, reliance on Rule 3a-2, Section 3(a)(1)(C), or Rule 3a-1 could require us to take actions to dispose of securities, limit our ability to make certain investments or enter into joint ventures, or otherwise limit or change our service offerings and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to be deemed an investment company in the future, restrictions imposed by the 1940 Act—including limitations on our ability to issue different classes of stock and equity compensation to directors, officers, and employees and restrictions on management, operations, and transactions with affiliated persons likely would make it impractical for us to continue our business as contemplated, and could have a material adverse effect on our business, results of operations, and financial condition. As a result, any future guidance or action from the SEC or its Staff that affect our investment company status or analysis, including changes that the SEC or its Staff may propose and adopt to stablecoins and/or digital assets generally, could inhibit our ability, or the ability of our subsidiaries, to pursue our current or future operating strategies.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Classification as an investment company would additionally subject us to specialized accounting methods under the 1940 Act. Among other things, the 1940 Act prescribes the methods to be used when making determinations of value. For financial statement purposes, securities for which market quotations are readily available are valued at their market value, and securities for which market quotations are not readily available and all other assets are valued at fair value as determined in good faith by the board of directors or its valuation designee. Furthermore, a company subject to regulation under the 1940 Act is also required to present its financial statements as prescribed under applicable 1940 Act rules and regulations. If we were deemed to be an investment company, and were unable to qualify for an exemption or exclusion from investment company status under the 1940 Act, our accounting of assets and presentation of our financial statements would change, and the financial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presentation would not in our view reflect the orientation of our operations and may make it difficult to compare our results of operations with the results of our competitors in the stablecoin and digital assets sector.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Third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current and future services are dependent on payment networks, and any changes to their rules or practices could adversely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banks and other payment processors to process users’ payments in connection with the purchase of digital assets on our platform and we pay these providers fees for their services. From time to time, payment networks have increased, and may increase in the future, the interchange fees and assessments that they charge for transactions that use their networks. Payment networks have imposed, and may impose in the future, special fees on the purchase of digital assets, including on our platform, which could negatively impact us and significantly increase our costs. Our payment card processors may have the right to pass any increases in interchange fees and assessments on to us, and may impose additional use charges which would increase our operating costs and reduce our operating income. We could attempt to pass these increases along to our users, but this strategy might result in the loss of users to our competitors that may not pass along the increases, thereby reducing our revenue. If competitive practices prevent us from passing along the higher fees to our users in the future, we may have to absorb all or a portion of such increases, thereby increasing our operating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directly or indirectly liable to the payment networks for rule violations. Payment networks set and interpret their network operating rules and may allege in the future that various aspects of our business model violate these operating rules. If such potential allegations are not resolved favorably, they may result in significant fines and penalties or require changes in our business practices that may be costly and adversely affect our business. The payment networks could adopt new operating rules or interpret or reinterpret existing rules that we or our processors might find difficult or even impossible to follow, or costly to implement. As a result, we could lose our ability to give users the option of using credit cards to fund their purchases or the choice of currency in which they would like their card to be charged. If we are unable to accept credit cards or are limited in our ability to do so, our business would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depend on major mobile operating systems and third-party platforms for the distribution of certain products. If Google Play, the Apple App Store, or other platforms prevent users from downloading our apps, our ability to grow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upon third-party platforms for the distribution of certain products and services. The Google Play Store and Apple App Store, which are global application distribution platforms, are the main distribution channels for our app. We are highly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apps, reduce or eliminate our ability to distribute our app, give preferential treatment to competitive products, limit our ability to target or measure the effectiveness of our app, or impose fees or other charges related to our delivery of our app could adversely affect our business. Each provider of these operating systems and stores has broad discretion to change and interpret its terms of service and policies with respect to our platform and those changes might be unfavorable to us and our users’ use of our platform. In addition, these providers can require us to provide information and data, change our practices and implement certain features or policies related to our operations. Responding to such inquiries or implementing the changes these providers may ask us to do could be costly and time-consuming. Further, these providers may take aim at the digital assets listed on our platform, and require us to remove or delist these assets, which could cause reputational harm and adversely affect our business.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to violate, or an operating system provider or application store believes that we have violated, any terms of service or policies, that operating system provider or application store could limit or discontinue our access to its operating system or store. There can be no guarantee that third-party platforms will continue to support our product offerings, or that users will be able to continue to use our products on such third-party platforms and any limitation or discontinuation of our access to any third-party platform or app store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Intellectual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intellectual property rights are valuable, and any inability to protect them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relies heavily in large part on our proprietary technology and our brand. We protect our intellectual property through a combination of trademark, trade dress, domain name, copyright, and trade secret rights, as well as confidentiality and license agreements with our employees, contractors, consultants, and third parties. We expect to continue using these measures to establish, protect, and maintain our brand and other intellectual property rights. However, our efforts to establish, protect, and maintain our intellectual property rights in the United States or in foreign markets may not be sufficient or effective. Our proprietary technology and trade secrets could be lost through misappropriation or breach of our confidentiality and license agreements,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 For example, it is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rely in part on trade secrets, proprietary know-how and other confidential information to maintain our competitive position. We attempt to protect our intellectual property, technology and confidential information by requiring our employees and other third parties who develop intellectual property on our behalf to enter into confidentiality and invention assignment agreements. We also require third parties we share information with to enter into nondisclosure and confidentiality agreements or to be bound by professional, fiduciary, or other contractual obligations requiring the applicable third party to protect our trade secrets, proprietary know-how and other confidential information. However, we cannot guarantee that we have entered into such agreements with each party who has developed intellectual property on our behalf and each party that has or may have had access to our confidential information, know-how or trade secrets. Further, these agreements do not prevent our competitors from independently developing technologies that are substantially equivalent or superior to our technology. These agreements may not be self-executing, may be insufficient or breached, may not effectively prevent disclosure of our proprietary information and trade secrets, and may not provide an adequate remedy in the event of unauthorized disclosure of such information or infringement or misappropriation of our intellectual property. In addition, trade secrets and know-how can be difficult to protect and some courts inside and outside the U.S. are less willing or unwilling to protect trade secrets and know-how. The loss of trade secret protection could make it easier for third parties to compete with our products and services by copying functionality. Individuals not subject to invention assignment agreements may claim ownership to our current and future intellectual property, and, to the extent that our employees, independent contractors or other third parties with whom we do business use intellectual property owned by others in their work for us, disputes may arise.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 intellectual property protection may not be available to us in every country in which our products and services are available, and the laws of such countries may not protect intellectual property and proprietary rights to the same extent as the laws of the U.S. For example, some foreign countries have compulsory licensing laws under which a patent owner must grant licenses to third parties and many countries limit the enforceability of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against certain third parties, including government agencies or government contractors. In these countries, patents may provide limited or no benefit. 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protection of our intellectual property may be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In some instances, patent applications or patents may be abandoned or allowed to lapse, resulting in partial or complete loss of patent rights in a relevant jurisdiction. We may also agree to license our patents to third parties as part of patent pools, open patent projects or pursuant to open source software licenses. Those licenses may diminish our ability, though, to counter-assert our patents against certain parties that may bring claims against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success will depend to some degree on our ability to protect the proprietary technology that we have developed or may develop or acquire in the future. While our patents may offer some protection, our intellectual property rights may not be sufficiently comprehensive to prevent our competitors from developing similar competitive products. Despite our efforts, unauthorized third parties, including competitors, may duplicate, mimic, reverse engineer, access, obtain, or use the proprietary aspects of our technology, processes, products, or services without our permission. Our competitors and other third parties may also design around or independently develop similar technology, or otherwise duplicate or mimic our services or products, such that we may not be able to successfully assert our intellectual property or other proprietary rights against them. Measures we have put in place may not prevent misappropriation, infringement, or other violations of our intellectual property or proprietary information, resulting in a loss of competitive advantage. Although we may pursue anyone whom we reasonably believe is infringing upon our intellectual property rights, initiating and maintaining suits against third parties requires substantial financial resources and may not succeed. While in some cases a third party may agree to indemnify us for costs associated with intellectual property-related litigation, there is a risk that such a third party could refuse or be unable to fulfill its obligations. Our insurance coverage may also not adequately cover claims of this type, or may not apply at all, potentially requiring us to pay significant monetary damages. Any of our enforcement efforts may be met with defenses, counterclaims, and countersuits attacking the validity and enforceability of our intellectual property rights. If such defenses or counterclaims are successful, we could lose valuable intellectual property rights. In addition, the significant amount of discovery required in intellectual property litigation could lead to the disclosure of our confidential information. Regardless of the outcome, enforcing our rights may result in costly and time-consuming litigation, potentially harming our business and competitive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sued by third parties in the future for alleged infringement of their trademark, patent, and other intellectual and other proprietary rights.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there has been considerable patent, copyright, trademark, domain name, trade secret and other intellectual property development activity in the digital asset industry, as well as litigation, based on allegations of infringement or other violations of intellectual property, including by large financial institutions. Furthermore, individuals and groups can purchase patents and other intellectual property assets for the purpose of making claims of infringement to extract settlements from companies like ours. Our use of third-party intellectual property rights also may be subject to claims of infringement or misappropriation. We cannot guarantee that NFTs that were previously sold on Nifty Gateway, or our internally developed or acquired technologies and content did not, do not or will not infringe the intellectual property rights of others. Meme coins listed on one or more of our exchanges may incorporate names or images that infringe on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products or services or using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technologies, force us to implement expensive workarounds, or impose other unfavorable circumstances. We expect that the occurrence of infringement claims is likely to grow as the digital asset market grows and matures. Accordingly, as our business grows,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by us or news coverage of any such litigation as negative, the market price of our Class A common stock may decline. Even if intellectual property infringement or misappropriation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NFTs previously sold on Nifty Gateway may infringe on or otherwise violate the intellectual property rights of others, including possible copyright and trademark infringement.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announced the wind down of Nifty Gateway in January 2026, NFTs that were supported by Nifty Gateway may continue to raise various intellectual property law considerations, including adequacy and scope of assignment, licensing, transfer, copyright, and other right of use issues. The creator of an NFT will often have all rights to the content of the NFT and can determine what rights to assign to a buyer, such as the right to display, modify, or copy the content. Risks associated with purchasing or selling NFTs, include, among other things, the risk of purchasing counterfeit items or items alleged to be counterfeit, mislabeled items, items that are vulnerable to metadata decay, items on smart contracts with bugs, items related to content that infringes intellectual property rights, and items that may become untransferable. To the extent that, despite our screening procedures for NFTs that were supported on Nifty Gateway that were designed to prevent such issues, we are directly or indirectly involved in a dispute between Nifty Gateway's former creators and buyers, it could harm our business, reputation,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platform contains third-party open source software components, and failure to comply with the terms of the underlying open source software licenses could harm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contains software modules licensed to us by third-party authors under “open source” licenses. We also make certain of our own software available to users for free under various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 risks associated with the use of open source software cannot be eliminated. For instance, open source software is often developed by different groups of programmers that collaborate with each other on projects and are beyond our control.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Such a delay could negatively impact our products and services, including by adversely affecting the market’s perception of our products and services, impairing the functionality of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assure you that our processes for controlling our use of open source software in our platform are, or will be, effective. If we are held to have breached or failed to fully comply with all the terms and conditions of an open source software license, we could face litigation, infringement or other liability, or be required to seek costly licenses from third parties to continue providing our offerings on terms that are not economically feasible, to re-engineer our platform, to discontinue or delay the provision of our offerings if re-engineering could not be accomplished on a timely basis or to make generally available, in source code form, our proprietary code, any of which could adversely affect our business, operating results, and financial condition. Moreover, the terms of many open source licenses have not been interpreted by U.S. or non-U.S. courts. As a result, there is a risk that these licenses could be construed in a way that could impose unanticipated conditions or restrictions on our ability to provide or distribute our platform. From time to time, there have been claims challenging the ownership of open source software against companies that incorporate open source software into their solutions. As a result, we could be subject to lawsuits by parties claiming ownership of what we believe to be licensed to us free of charge as open source software.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Our Employees and Other Service Providers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loss of one or more of our key personnel, or our failure to attract and retain other highly qualified personnel in the future,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a relatively new industry that is not widely understood and requires highly skilled and technical personnel. We believe that our future success is highly dependent on the talents and contributions of our senior management team, including in particular Tyler and Cameron Winklevoss, and other key employees across product, engineering, risk management, finance, compliance and legal, and marketing. Our future success depends on our ability to attract, develop, motivate, and retain highly qualified and skilled employees. Due to the nascent nature of digital assets, the pool of qualified talent is extremely limited, particularly with respect to executive talent, engineering, risk management, and financial regulatory expertise. We face intense competition for qualified individuals from numerous software and technology companies. To attract and retain key personnel, we incur significant costs, including salaries and benefits and equity incentives. Even so, these measures may not be enough to attract and retain the personnel we require to operate our business effectively. The loss of even a few key employees, or an inability to attract, retain and motivate additional highly skilled employees required for the growth of our business could adversely impact our operating results and impair our ability to grow.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recently experienced senior management turnover, and our management team has limited experience operating as a public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team does not have significant experience operating publicly traded companies, and has limited experience interacting with public company investors, and complying with the increasingly complex laws pertaining to public companies. In addition, on February 17, 2026, we parted ways with our Chief Financial Officer, Chief Legal Officer, and Chief Operating Officer and appointed a new Interim Chief Financial Officer and Interim General Counsel as of that date. These leadership changes, together with our limited public company operating experience, may make it more difficult for us to manage our public company reporting, legal and regulatory obligations, investor communications and other functions necessary to operate as a public company. In addition, the transition of responsibilities among senior management may divert management's attention from the operation of our business. If we are unable to manage this transition effectively, our business, operating results, and financial condition could be adversely affected.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try to foster a high-performance culture, and if we cannot maintain this culture, our business could be adversely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a key contributor to our success is our culture. We prioritize curiosity and continuous learning, encouraging team members to push boundaries while maintaining our commitment to regulatory compliance and risk management. Our current talent pool is comprised of professionals from leading technology and financial institutions, providing the comprehensive skill set needed to drive innovation in the cryptoeconomy. We believe our team’s track record of building scalable, distributed software systems, navigating complex regulatory environments, and delivering innovative products positions us for continued growth. If we cannot maintain this culture in the future, our business may be adversely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 the event of employee or service provider misconduct or error, our business may be adversely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Employee or service provider misconduct or error could subject us to legal liability, financial losses, and regulatory sanctions and could seriously harm our reputation and negatively affect our business. Such misconduct could include engaging in improper or unauthorized transactions or activities, misappropriation of user funds, insider trading and misappropriation of information, failing to supervise other employees or service providers, improperly using confidential information, as well as improper trading activity such as spoofing, layering, wash trading, manipulation and front-running. Employee or service provider errors, including mistakes in executing, recording, or processing transactions for users, could expose us to the risk of material losses even if the errors are detected. Although we have implemented processes and procedures and provided trainings to our employees to reduce the likelihood of misconduct and error, these efforts may not be successful. Moreover, the risk of employee or service provider error or misconduct may be even greater for novel products and services and is compounded by the fact that many of our employees and service providers are accustomed to working at tech companies which generally do not maintain the same compliance customs and rules as financial services firms. It is not always possible to deter misconduct, and the precautions we take to prevent and detect this activity may not be effective in all cases. If we were found to have not met our regulatory oversight and compliance and other obligations, we could be subject to regulatory sanctions, financial penalties, restrictions on our activities for failure to properly identify, monitor and respond to potentially problematic activity and damage our reputation. Our employees, contractors, and agents could also commit errors that subject us to financial claims for negligence, as well as regulatory actions, or result in financial liability. Further, allegations by regulatory or criminal authorities of improper trading activities could affect our brand and reputation.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officers, directors, employees, and large stockholders may encounter potential conflicts of interests with respect to their positions or interests in certain digital assets, entities, and other initiatives, which could adversely affect our business and reputation.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engage in a variety of transactions and maintain relationships with a number of digital asset projects, their developers, members of their ecosystem, and investors. It is possible that these transactions and relationships could create potential conflicts of interests in management decisions that we make. For instance, certain of our officers, directors, and employees are active investors in digital asset projects themselves, and may make investment decisions that favor projects that they have personally invested in. Many of our other stockholders also make investments in these digital asset projects. In addition, our co-founders are involved in a number of initiatives related to digital assets and frequently make investments in companies involved in digital assets and blockchain networks. This and other initiatives they are involved in could divert their time and attention from overseeing our business operations which could have a negative impact on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certain of our directors, officers, employees, and large stockholders may hold digital assets that we are considering supporting for trading on our platform, and may be more supportive of such listing notwithstanding legal, regulatory, and other issues associated with such digital assets. We maintain a Digital Assets Trading Policy that prohibits trading in digital assets based on material nonpublic information and we have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adopted a Code of Business Conduct and Ethics that addresses self-dealing and other potential conflicts of interests. While we have instituted policies and procedures to limit and mitigate such risks, there is no assurance that such policies and procedures will be effective, or that we will be able to manage such conflicts of interests adequately. If we fail to manage these conflicts of interests, or we receive unfavorable media coverage with respect to actual or perceived conflicts of interest, our business may be harmed and the brand, reputation and credibility of our company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substantial number of our employees work remotely. This subjects us to heightened operational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our employees and service providers work from home. This subjects us to heightened operational risks. For example, technologies in our employees’ and service providers’ homes may not be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may be less secure than those used in our offices. While we have implemented technical and administrative safeguards to help protect our systems as our employees and service providers work from home, we may be subject to increased cybersecurity risk, which could expose us to risks of data or financial loss, and could disrupt our business operations. There is no guarantee that the data security and privacy safeguards we have put in place will be completely effective or that we will not encounter risks associated with employees and service providers accessing company data and systems remotely.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Ownership of Our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market price of our Class A common stock may be volatile, and could decline significantly and rapidly. Market volatility may affect the value of an investment in our Class A common stock and could subject us to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could be highly volatile and may fluctuate substantially as a result of many factors,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number of shares of our Class A common stock publicly owned and available for trading;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overall performance of the equity markets or publicly-listed financial services and technology companies and, in particular, companies in the digital assets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actual or anticipated operating performance and the operating performance of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operational and financial results we provide to the public or our failure to meet those projections;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major change in our board of directors, management, or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issue additional shares of capital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announcements by us or our competitors of significant innovations, new products, services, features, integrations or capabilities, acquisitions, strategic investments, partnerships, or joint ventures;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events or factors, including those resulting from epidemics, pandemics, war, incidents of terrorism, or responses to these events.</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addition, the stock markets have experienced extreme price and volume fluctuations. Broad market and industry factors may materially harm or otherwise influence the market price of our Class A common stock, regardless of our operating performance. For example, and in common with certain other public companies within the digital assets industry, our stock may be attractive to hedge or day-trading investors who often shift funds into and out of stocks rapidly, exacerbating price fluctuations in either direction. The market prices for digital asset companies have experienced significant volatility in recent periods, including both price and volume fluctuations, that often has been unrelated or disproportionate to the operating performance of such companies. If these trends were to impact us, the trading price of our Class A common stock may from time to time reflect market dynamics that are not connected to traditional valuation methods that might otherwise be associated with an operating company with a business model such as ours. Investors may therefore be unable to assess the value of our Class A common stock or evaluate the risks of an investment in us using traditional or commonly used enterprise valuation methods. We cannot predict the extent to which these dynamics will develop, how they may evolve over time, or whether or how long they may last. In the past, following periods of volatility in the market price of a company’s securities, securities class action litigation has often been instituted against that company. We are currently subject to a purported class action litigation and shareholder derivation action as described in </w:t>
      </w:r>
      <w:r>
        <w:rPr>
          <w:rFonts w:ascii="Times New Roman;serif" w:hAnsi="Times New Roman;serif"/>
          <w:b w:val="false"/>
          <w:i/>
          <w:color w:val="000000"/>
          <w:sz w:val="20"/>
        </w:rPr>
        <w:t xml:space="preserve">Note 22. Commitments and Contingencies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23. Subsequent Events</w:t>
      </w:r>
      <w:r>
        <w:rPr>
          <w:rFonts w:ascii="Times New Roman;serif" w:hAnsi="Times New Roman;serif"/>
          <w:b w:val="false"/>
          <w:color w:val="000000"/>
          <w:sz w:val="20"/>
        </w:rPr>
        <w:t>, respectively, to our unaudited condensed consolidated financial statements included elsewhere in this Quarterly Report on Form 10-Q, and may continue to be the target of this type of litigation in the future. Securities litigation against us could result in substantial costs and divert our management’s attention from other business concerns, which could harm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not obligated to, and do not intend to pay dividends or make other distributions with respect to any class of our common stock for the foreseeable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retain all of our available funds and earnings to fund the development and growth of our business. As a result, we do not expect to pay any cash dividends or make any other distributions in the foreseeable future. Consequently, investors of our Class A common stock may be unable to realize a gain on their investment except by selling such shares after price appreciation, which may never occur.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significant discretion as to whether to make distributions. Even if our board of directors decides to declare and pay dividends or make other distributions, the timing, amount and form of future dividends or other distributions, if any, will depend on, among other things, our future results of operations and cash flow, applicable limitations under Nevada law, our financial condition and other factors deemed relevant by our board of directors. Because we are a holding company, our ability to pay dividends also depends on our receipt of cash dividends from our operating subsidiaries, which may be restricted in their ability to pay dividends as a result of the laws of their respective jurisdictions of organization, agreements of our subsidiaries or covenants under any existing and future outstanding indebtedness we or our subsidiaries incur.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Substantial future sales of shares of our common stock by existing stockholders, or the perception that those sales may occur, could cause the market price of our Class A common stock to decline.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Class A common stock in the public market, or the perception that such sales may occur, could depress the market price of our Class A common stock. Issuing additional shares of our Class A common stock or other equity securities or securities convertible into equity may dilute the economic and voting rights of our existing stockholders or reduce the market price of our Class A common stock or both. </w:t>
      </w:r>
    </w:p>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securities or industry analysts cease publishing research, or publish inaccurate or unfavorable research, about our business or our industry, the price of our Class A common stock and its liquidity could decline.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depends in part on the research and reports that securities or industry analysts publish about us, our business, or our industry. We do not have control over these analysts. If securities or industry analysts downgrade our Class A common stock or publish negative reports about our business, the price of our Class A common stock could decline. If one or more of these analysts cease coverage of us or fail to publish reports on us regularly, demand for our Class A common stock could decrease, which could cause the price or trading volume of our Class A common stock to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You may be diluted by the future issuance of common stock, preferred stock, or securities convertible or exchangeable into common or preferred stock, in connection with our incentive plans, acquisitions, capital raises, or otherwise.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future, we may sell Class A common stock, convertible securities, or other equity securities, including preferred securities, in one or more transactions at prices and in a manner we determine from time to time. We also expect to issue Class A common stock to employees and directors pursuant to our Equity Plan and ESPP. If we sell Class A common stock, convertible securities, or other equity securities in subsequent transactions, or common stock is issued pursuant to equity incentive plans, stockholders may be materially diluted. New investors in subsequent transactions could gain rights, preferences, and privileges senior to those of holders of our Class A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Anti-takeover provisions in our organizational documents and Nevada law might discourage or delay attempts to acquire us that you might consider favorable.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provisions of our amended and restated articles of incorporation, amended and restated bylaws, and Nevada law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anti-takeover provisions could make it more difficult for a third party to acquire us, even if many of our stockholders are in favor of the third party’s offer. These provisions also may have the effect of preventing changes in our board of directors and may make it more difficult to accomplish transactions that stockholders may otherwise deem to be in their best interests. As a result, our stockholders may be limited in their ability to obtain a premium for their shares or control our management or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amended and restated articles of incorporation provides that the Eighth Judicial District Court of Clark County, Nevada (or if such court does not have jurisdiction, another state or the federal courts (as appropriate) located within the State of Nevada) is the sole and exclusive forum, and provide for a limited waiver of trial by jury, for certain stockholder litigation matters, which could limit our stockholders’ ability to obtain a favorable judicial forum for disputes with us or our directors, officers, employees, or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articles of incorporation provides that, unless we consent in writing to the selection of an alternative forum, to the fullest extent permitted by law, the Eighth Judicial District Court of the State of Nevada sitting in Clark County, Nevada, is the sole and exclusive forum for any actions, suits or proceedings, whether civil, administrative or investigative, (a) brought in the name or right of us or on our behalf, (b) asserting a claim for breach of any fiduciary duty owed by any current or former director, officer, stockholder, employee, or agent or fiduciary of us to us or our stockholders, (c) for any internal action (as defined in NRS 78.046), including any action asserting a claim against us arising pursuant to any provision of NRS Chapters 78 or 92A, our amended and restated articles of incorporation or our amended and restated bylaws, any agreement entered into pursuant to NRS 78.365 or as to which the NRS confers jurisdiction on the district court of the State of Nevada, (d) to interpret, apply, enforce or determine the validity of our amended and restated articles of incorporation or our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restated bylaws, or (e) asserting a claim governed by the internal affairs doctrine; provided that such exclusive forum provisions will not apply to suits brought to enforce any liability or duty created by the Securities Exchange Act of 1934 (“Exchange Act”) or any other claim for which the U.S. federal courts have exclusive jurisdiction.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amended and restated articles of incorporation provides that, in the event that the Eighth Judicial District Court of Clark County, Nevada does not have jurisdiction over any such action, suit or proceeding, then any other state district court located in the State of Nevada will be the sole and exclusive forum and, in the event that no state district court in the State of Nevada has jurisdiction over any such action, suit or proceeding, then a federal district court of the United States located within the State of Nevada will be the sole and exclusive forum. Unless we consent otherwise to the selection of an alternative forum, the federal district courts of the United States will be the sole and exclusive forum for the resolution of any claim asserting a cause of action arising under the Securities Act, against any person in connection with any offering of the our securities.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further provides that, to the fullest extent not inconsistent with any applicable U.S. federal laws (including the Securities Act and the Exchange Act), any and all “internal actions” (as defined in NRS 78.046) must be tried in a court of competent jurisdiction (subject to the exclusive forum provisions in our amended and restated articles of incorporation) before the presiding judge as the trier of fact and not before a jury. Pursuant to NRS 78.046 (as amended effective May 30, 2025, pursuant to Assembly Bill No. 239), such requirement will conclusively operate as a waiver of the right to trial by jury by each party to any such “internal action,” but not to the extent any such waiver would be inconsistent with or prohibited under the federal securities laws (including the Securities Act and the Exchange Act) and the rules and regulations thereunder. Under NRS 78.046, the limited waiver of trial by jury is only intended to apply to “internal actions” brought in state courts in the State of Nevada and does not limit or otherwise affect any right to a jury trial in any other action, suit or proceeding (including in state courts outside of Nevada and U.S. federal courts). Therefore, the limited waiver of trial by jury will not apply to claims brought under the Exchange Act, which are subject to exclusive federal jurisdiction, and will only apply to Securities Act claims if such claims are properly brought in state courts in the State of Nevada and constitute an “internal action” under NRS 78.046.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fullest extent permitted by applicable law, any person or entity purchasing or otherwise acquiring any interest in shares of our capital stock shall be deemed to have notice of and consented to the forum and limited jury waiver provisions in our amended and restated articles of incorporation, except our stockholders will not be deemed to have waived (and cannot waive) compliance with the federal securities laws (including the Securities Act and the Exchange Act) and the rules and regulations thereunder. These choice of forum and jury waiver provisions, to the extent applicable and enforceable, may limit a stockholder’s ability to bring a claim in a judicial forum, even if such stockholder may believe such different forum or trial by jury to be favorable or convenient for disputes with us or any of our current or former directors, officers, other employees, or stockholders which may discourage lawsuits with respect to such claims. Alternatively, if a court were to find these provisions contained in our amended and restated articles of incorporation to be inapplicable or unenforceable in an action, we may incur additional costs associated with resolving such action in other jurisdictions or before a jury, which could harm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Limitations on director and officer liability and our indemnification of our directors and officers may discourage stockholders from bringing suit against a director or officer.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Nevada law provides that our directors and officers will not be individually liable to us or our stockholders or creditors for damages as a result of any act or failure to act in his or her capacity as a director or officer unless (i) the statutory presumption in his or her favor established by NRS 78.138(3) is rebutted, (ii) the act or failure to act constituted a breach of his or her fiduciary duties as a director or officer, and (iii) such breach involved intentional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misconduct, fraud or a knowing violation of law. These provisions may discourage stockholders from bringing suit against a director or officer for breach of fiduciary duty and may reduce the likelihood of derivative litigation brought by stockholders on our behalf against a director or officer. In addition, our amended and restated articles of incorporation and amended and restated bylaws require indemnification of directors and officers to the fullest extent permitted by Nevada law.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co-founders control a majority of the voting power of shares eligible to vote in the election of our directors and on other matters submitted to a vote of our stockholders, and their interests may conflict with ours or yours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co-founders control the majority of the voting power of our outstanding common stock through their affiliates and consequently hold significant influence over the election of our directors and other matters submitted to a vote of our stockholders. For so long as our co-founders continue to beneficially own a significant percentage of our common stock through their affiliates, they will be able to influence the composition of our board of directors and the approval of actions requiring stockholder approval in ways that may conflict with the interests of us or our other stockholders. Accordingly, for such period of time, our co-founders will have significant influence with respect to our management, business plans, and policies, including the appointment and removal of our officers. In particular, our co-founders may be able to cause or prevent a change of control of us or a change in composition of our board of directors and could preclude any unsolicited acquisition of us. The concentration of voting power could deprive you of an opportunity to receive a premium for your shares of Class A common stock as part of the sale of the company and ultimately might affect the market price of our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multiple class structure of our common stock may adversely affect the trading market for our Class A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predict whether our multiple class structure of our common stock with different voting rights will result in a lower or more volatile market price of our Class A common stock, adverse publicity, or other adverse consequences. Certain index providers have announced restrictions on including companies with multiple class share structures in certain of their indices. Because of our multiple class structure, we may be excluded from these indices and other stock indices that take similar actions. Given the sustained flow of investment funds into passive strategies that seek to track certain indices, exclusion from certain stock indices would likely preclude investment by many of these funds and could make our Class A common stock less attractive to investors. In addition, several stockholder advisory firms have announced their opposition to the use of multiple class structures and our multiple class structure may cause stockholders advisory firms to publish negative commentary about our corporate governance, in which case the market price and liquidity of our Class A common stock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a “controlled company” as defined under the corporate governance rules of Nasdaq and, as a result, qualify for exemptions from certain corporate governance requirements of Nasdaq.</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co-founders control a majority of our voting power.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those that would otherwise require our board of directors to establish a compensation committee and nominating committee comprised entirely of independent directors. While we have a compensation committee and a nomination committee, as a controlled company neither of these committees is composed entirely of independent directors. As such, you do not have the same protections afforded to stockholders of companies that are subject to all of Nasdaq’s rules.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qualify as an emerging growth company, and any decision on our part to comply with reduced reporting and disclosure requirements applicable to emerging growth companies could make our common stock less attractive to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and, for as long as we continue to be an emerging growth company, we currently intend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of the Sarbanes-Oxley Act, reduced disclosure obligations regarding executive compensation in our registration statements,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last day of the fiscal year in which we have total annual gross revenues of $1.235 billion or more; (ii) December 31, 2030; (iii) the date on which we have issued more than $1.0 billion in nonconvertible debt during the previous three years; and (iv) the date on which we are deemed to be a large accelerated filer under the rules of the SEC.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predict whether investors will find our Class A common stock less attractive if we choose to rely on these exemptions while we are an emerging growth company. Under the JOBS Act, emerging growth companies can also delay adopting new or revised accounting standards until such time as those standards apply to private companies. We have elected to avail ourselves of this extended transition period and, as a result, we will not be required to adopt new or revised accounting standards on the relevant dates on which adoption of such standards is required for other public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our estimates or judgment relating to our critical accounting estimates prove to be incorrect, our operating results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See “</w:t>
      </w:r>
      <w:r>
        <w:rPr>
          <w:rFonts w:ascii="Times New Roman;serif" w:hAnsi="Times New Roman;serif"/>
          <w:b w:val="false"/>
          <w:i/>
          <w:color w:val="000000"/>
          <w:sz w:val="20"/>
        </w:rPr>
        <w:t>Management’s Discussion and Analysis of Financial Condition and Results of Operations—Critical Accounting Policies and Estimates</w:t>
      </w:r>
      <w:r>
        <w:rPr>
          <w:rFonts w:ascii="Times New Roman;serif" w:hAnsi="Times New Roman;serif"/>
          <w:b w:val="false"/>
          <w:color w:val="000000"/>
          <w:sz w:val="20"/>
        </w:rPr>
        <w:t>.” The results of these estimates form the basis 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evaluation of tax positions, inter-company transactions, and the valuation of stock-based awards and digital assets we hold, among others. Our operating results may be adversely affected if our assumptions change or if actual circumstances differ from those in our assumptions, which could cause our operating results to fall below the expectations of analysts and investors, resulting in a decline in the trading price of our Class A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might require additional capital to support business growth, and this capital might not be available.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funded our operations since inception primarily through equity financings, debt, and revenue generated by our product and service offerings. We cannot be certain when or if our operations will generate sufficient cash to fully fund our ongoing operations or the growth of our business. We intend to continue to make investments in our business, including developing new products and services, enhancing our operating infrastructure, expanding our international operations, and acquiring complementary businesses and technologies, all of which may require us to secure additional funds. Additional financing may not be available on terms favorable to us, if at all. If we incur additional debt, the debt holders would have rights senior to holders of our common stock to make claims on our assets, and the terms of any debt could restrict our operations, including our ability to pay dividends on or make other distributions with respect to our common stock. Furthermore, our amended and restated articles of incorporation authorize the issuance of “blank check” preferred stock that our board of directors could use to, among other things, issue shares of our capital stock or implement a stockholder rights plan. We may issue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capital stock to our users in connection with user reward or loyalty programs. If we issue additional equity securities, stockholders will experience dilution, and the newly issued securities could gain rights, preferences, and privileges senior to those of holders of our Class A common stock. The trading price for our Class A common stock may be highly volatile, which may reduce our ability to access capital on favorable terms or at all. In addition, a slowdown or other sustained adverse downturn in the general economic or digital asset markets could adversely affect our business and the trading price of our Class A common stock. Because our decision to raise capital in the future will depend on numerous considerations, including factors beyond our control, we cannot predict or estimate the amount, timing, or nature of any future issuances of securities. As a result, our stockholders bear the risk of future issuances of convertible debt or equity securities reducing the trading price of our Class A common stock and diluting their interests. Our inability to obtain adequate financing or financing on terms satisfactory to us, when we require it, could significantly limit our ability to continue supporting our business growth and responding to business challenges.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historically relied on related party financing and we may not be able to secure comparable financing in the future.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to equity financings and revenue generated by our product and service offerings, we have historically relied on related party loans, primarily from Winklevoss Capital Fund, LLC (“WCF”), to fund certain aspects of our business. While we expect to reduce our reliance on related party financing as an ongoing source of new funding for the business, a portion of our related party indebtedness remains outstanding and we may in the future enter into related party transactions with WCF in connection with liquidity, capital, or operational needs, such as the Private Placement. As of March 31, 2026, repayment obligations in respect of 0 ETH and 3,691 BTC remained outstanding under agreements with WCF that we previously entered into. These loans bear loan fees ranging from 4% to 8% per annum and, for the three months ended March 31, 2026 and 2025, we incurred approximately $3.3 million and $13.9 million, respectively, in loan fees under these agreements. For more information on these lending agreements, see “</w:t>
      </w:r>
      <w:r>
        <w:rPr>
          <w:rFonts w:ascii="Times New Roman;serif" w:hAnsi="Times New Roman;serif"/>
          <w:b w:val="false"/>
          <w:i/>
          <w:color w:val="000000"/>
          <w:sz w:val="20"/>
        </w:rPr>
        <w:t>Management’s Discussion and Analysis of Financial Condition and Results of Operations—Liquidity and Capital Resources—Indebtedness and Other Funding Arrangements—Lending Agreements.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these transactions have been a source of liquidity and capital for us historically, we cannot assure you whether WCF will continue to provide such financing, the extent to which we will continue to require similar financing arrangements to provide us with sufficient liquidity and capital, or that future loans, if any, will be made on the same or comparable terms, and we may be required to raise additional capital on less favorable terms. An interruption in related party financing could accordingly impair our ability to preserve sufficient operational and financial flexibility or fund growth, strategic, and development initiatives. Moreover, although we believe the terms of the WCF transactions are reasonable and in the best interests of the Company, and indicate our co-founders’ long-term commitment to the business, any perceived reliance on such related party transactions may be viewed negatively by investors, regulators, or potential business partners, or may raise concerns regarding actual or perceived conflicts of interest that could give rise to scrutiny, litigation, or reputational harm.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public company we have incurred and will continue to incur significant legal, accounting, and other expenses that we did not incur as a private company. We are subject to reporting requirements of the Exchange Act, the Sarbanes-Oxley Act, the rules subsequently implemented by the SEC, the rules and regulations of the listing standards of Nasdaq, and other applicable securities rules and regulations. Stockholder activism, the current political and social environment, and regulatory reform may lead to new regulations and disclosure obligations, which will likely result in additional compliance costs and could impact the manner in which we operate our business in ways we cannot currently anticipate. Compliance with these rules and regulations may strain our financial and management systems, internal controls, and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previously identified material weaknesses in our internal control over financial reporting. If we are unable to remediate these material weaknesses, experience additional material weaknesses in the future or otherwise fail to implement and maintain an effective system of internal controls, we may not be able to accurately or timely report our financial condition or operating results, which may adversely affect investor confidence in us and, as a result, the value of our Class A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public company with SEC reporting obligations, we are required to document and test our internal control procedures to satisfy the requirements of Section 404(a) of the Sarbanes-Oxley Act, which will require annual assessments by management of the effectiveness of our internal control over financial reporting beginning with our second annual report on Form 10-K. Although we are an emerging growth company, and thus we are exempt from the auditor attestation requirement of Section 404(b) of Sarbanes-Oxley until such time as we no longer qualify as an emerging growth company, we expect to incur significant expenses and devote substantial management effort toward ensuring compliance with the auditor attestation requirements of Section 404 of the Sarbanes-Oxley Act if we lose our status as an emerging growth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our IPO in 2025,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weaknesses identified pertain to the following: (i) we did not maintain an effective control environment in that a sufficient number of personnel were not available to support an effective financial close process in a timely manner; (ii) we did not maintain an effective risk assessment process, which led to some improperly designed controls; (iii) we did not establish, thoroughly communicate, and monitor certain control processes and relevant accounting policies and procedures; (iv) controls over the digital asset reconciliation between our internal ledger and the public blockchain to address the existence, recording, and safeguarding of digital assets were not effectively designed and implemented and, therefore, did not operate effectively; and (v) we did not properly design and implement controls over the launch of new products, including controls over the reconciliation of digital assets held in corporate accounts and on behalf of customers.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concluded that these material weaknesses existed because, as a private company, we did not have the necessary business processes, systems, personnel, and related internal controls necessary to satisfy the accounting and financial reporting requirements of a public company. We have taken and will continue to take actions to remediate these material weaknesses, including hiring additional accounting and finance personnel with financial accounting, stock-based compensation, tax, and reporting expertise; increasing training and education in accounting and reporting requirements for a public company; designing and implementing processes, tools and internal controls over the financial statement close process; strengthening internal controls to align with the COSO framework and Internal Control over Financial Reporting standards; enhancing the review of journal entries and account reconciliations, including digital asset reconciliations; and retaining the services of third-party consultants to supplement our technical competencies and expertise.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will not be able to fully remediate these material weaknesses until these steps have been completed and have been operating effectively for a sufficient period of time. These remediation measures will be time-consuming and require financial and operational resources, and we cannot assure you that the measures we have taken to date, and actions we may take in the future, will be sufficient to remediate the control deficiencies that led to material weaknesses in our internal controls over financial reporting. Additionally, we cannot assure you that we have identified all, or that we will not in the future have additional, material weaknesses. If one or more of the material weaknesses that we have identified, or any future material weaknesses, are not remediated, they could result in a material misstatement of our annual or interim financial statements that might not be prevented or detected and could also impair our ability to comply with applicable financial reporting requirements and related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filings on a timely basis. Additionally, ineffective internal control over financial reporting could expose us to increased risk of fraud or misuse of corporate assets and subject us to potential delisting from the stock exchange on which we list. Material weaknesses may still exist when we report on the effectiveness of our internal control over financial reporting as required under Section 404 of the Sarbanes-Oxley Act. The process of designing and implementing internal control over financial reporting required to comply with the disclosure and attestation requirements of Section 404 of the Sarbanes-Oxley Act will be time consuming and costly. If we identify future material weaknesses in our internal control over financial reporting, if we are unable to comply with the requirements of Section 404 of the Sarbanes-Oxley Act in a timely manner, or if we are unable to assert that our internal control over financial reporting is effective, investors may lose confidence in the accuracy and completeness of our financial reports and the market price of our Class A common stock could decline, and we could also become subject to investigations by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adversely affected by natural disasters, pandemics, and other catastrophic events, and by man-made problems such as terrorism, that could disrupt our business operations, and our business continuity and disaster recovery plans may not adequately protect us from a serious disaster.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Natural disasters or other catastrophic events may cause damage or disruption to our operations, international commerce, and the global economy, and could have an adverse effect on our business, operating results, and financial condition. Our business operations are subject to interruption by natural disasters, fire, power shortages, and other events beyond our control. In addition, our global operations expose us to risks associated with public health crises, such as pandemics and epidemics, which could harm our business and cause our operating results to suffer. Further, acts of terrorism, labor activism or unrest, and other geopolitical unrest (including an outbreak of armed conflict, such as the Russia-Ukraine and the Middle East conflicts) could cause disruptions in our business or the businesses of our partners or the economy as a whole. In the event of a natural disaster, including a major earthquake, blizzard, or hurricane, or a catastrophic event such as a fire, power loss,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We do not maintain insurance sufficient to compensate us for the potentially significant losses that could result from disruptions to our services. Additionally, all the aforementioned risks may be further increased if we do not implement a disaster recovery plan or our third-party partners’ disaster recovery plans prove to be inadequate. To the extent natural disasters or other catastrophic events concurrently impact data centers we rely on in connection with private key restoration, users will experience significant delays in withdrawing funds, or in the extreme, we may suffer loss of user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review key business metrics to evaluate growth trends, measure our performance, and make strategic decisions. These key business metrics are calculated using internal company data and have not been validated by an independent third party. While these metrics are based on what we believe to be reasonable estimates for the applicable period of measurement at the time of reporting, there are inherent challenges in such measurements. If we fail to maintain an effective analytics platform, our key business metrics calculations may be inaccurate, and we may not be able to identify those inaccuracies. Additionally, we have in the past and may in the future, calculate key business metrics using third-party data. While we believe the third-party data we have used in the past or may use in the future is reliable, we have not independently verified and may not in the future independently verify the accuracy or completeness of the data contained in such sources and there can be no assurance that such data is free of error. Any inaccuracy in the third-party data we use could cause us to overstate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understate our key business metrics. We regularly review our processes for calculating these metrics, and from time to time we make adjustments to improve their accuracy.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certain of our key business metrics, such as MTUs, LTUs, and Card Sign-Ups, are measured at a point in time and, as our products and internal processes for calculating these metrics evolve over time, a previously reported number could fluctuate and may no longer be representative. Further, these metrics may be subject to overstatement — for example, our MTU and LTU metrics may overstate the number of unique users who have registered an account on our platform, as one user may register for and use, intentionally or inadvertently, multiple accounts with different email addresses, phone numbers, or usernames, and similarly, Card Sign-Ups may not reflect the impact of subsequent account closures, including customer-requested closures and closures by Gemini for suspected or confirmed fraud, failure to satisfy card program eligibility requirements, or other risk-management, compliance, or administrative reasons. If our metrics provide us with incorrect or incomplete information about users and their behavior, we may make inaccurate conclusions about our business. We regularly deactivate fraudulent and spam accounts that violate our terms of use and exclude these users from the calculation of our key business metrics, however, we may not succeed in identifying and removing all such accounts from our platform. We generally will not update previously disclosed key business metrics for any such inaccuracies or adjustments that are immaterial.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change our key business metrics from time to time, which may be perceived negatively. Given the rapid evolution of the digital asset markets and our revenue sources, we regularly evaluate whether our key business metrics remain meaningful indicators of the performance of our business. As a result of these evaluations, in the past we have decided to make changes, and in the future may make additional changes, to our key business metrics, including eliminating or replacing existing metrics.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 of Equity Securities and Use of Proceeds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During the three months ended March 31, 2026, no director or Section 16 officer adopted, modified or terminated any Rule 10b5-1 trading arrangements or non-Rule 10b5-1 trading arrangements, as each term is defined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4"/>
        <w:gridCol w:w="303"/>
        <w:gridCol w:w="304"/>
        <w:gridCol w:w="1835"/>
        <w:gridCol w:w="1710"/>
        <w:gridCol w:w="1729"/>
        <w:gridCol w:w="175"/>
        <w:gridCol w:w="175"/>
        <w:gridCol w:w="176"/>
        <w:gridCol w:w="304"/>
        <w:gridCol w:w="267"/>
        <w:gridCol w:w="174"/>
        <w:gridCol w:w="225"/>
        <w:gridCol w:w="225"/>
        <w:gridCol w:w="226"/>
        <w:gridCol w:w="220"/>
        <w:gridCol w:w="220"/>
        <w:gridCol w:w="222"/>
        <w:gridCol w:w="400"/>
        <w:gridCol w:w="400"/>
        <w:gridCol w:w="571"/>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Number</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Filed or Furnished Herewith</w:t>
            </w:r>
          </w:p>
        </w:tc>
      </w:tr>
      <w:tr>
        <w:trPr/>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5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Amended and Restated Articles of Incorporation of Gemini Space Station, Inc.</w:t>
              </w:r>
            </w:hyperlink>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9/15/2025</w:t>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 xml:space="preserve">Amended and Restated Bylaws of Gemini Space Station, Inc. </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9/15/2025</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Form of Class A Common Stock Certificate</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80"/>
                  <w:sz w:val="18"/>
                  <w:u w:val="single"/>
                </w:rPr>
                <w:t>Registration</w:t>
              </w:r>
            </w:hyperlink>
            <w:hyperlink r:id="rId6">
              <w:r>
                <w:rPr>
                  <w:rStyle w:val="InternetLink"/>
                  <w:rFonts w:ascii="Times New Roman;serif" w:hAnsi="Times New Roman;serif"/>
                  <w:b w:val="false"/>
                  <w:color w:val="000080"/>
                  <w:sz w:val="18"/>
                  <w:u w:val="single"/>
                </w:rPr>
                <w:t xml:space="preserve"> Righ</w:t>
              </w:r>
            </w:hyperlink>
            <w:hyperlink r:id="rId7">
              <w:r>
                <w:rPr>
                  <w:rStyle w:val="InternetLink"/>
                  <w:rFonts w:ascii="Times New Roman;serif" w:hAnsi="Times New Roman;serif"/>
                  <w:b w:val="false"/>
                  <w:color w:val="000080"/>
                  <w:sz w:val="18"/>
                  <w:u w:val="single"/>
                </w:rPr>
                <w:t xml:space="preserve">ts Agreement, dated September 12, 2025, by and among Gemini Space Station, Inc. </w:t>
              </w:r>
            </w:hyperlink>
            <w:hyperlink r:id="rId8">
              <w:r>
                <w:rPr>
                  <w:rStyle w:val="InternetLink"/>
                  <w:rFonts w:ascii="Times New Roman;serif" w:hAnsi="Times New Roman;serif"/>
                  <w:b w:val="false"/>
                  <w:color w:val="000080"/>
                  <w:sz w:val="18"/>
                  <w:u w:val="single"/>
                </w:rPr>
                <w:t>and certain of i</w:t>
              </w:r>
            </w:hyperlink>
            <w:hyperlink r:id="rId9">
              <w:r>
                <w:rPr>
                  <w:rStyle w:val="InternetLink"/>
                  <w:rFonts w:ascii="Times New Roman;serif" w:hAnsi="Times New Roman;serif"/>
                  <w:b w:val="false"/>
                  <w:color w:val="000080"/>
                  <w:sz w:val="18"/>
                  <w:u w:val="single"/>
                </w:rPr>
                <w:t>t</w:t>
              </w:r>
            </w:hyperlink>
            <w:hyperlink r:id="rId10">
              <w:r>
                <w:rPr>
                  <w:rStyle w:val="InternetLink"/>
                  <w:rFonts w:ascii="Times New Roman;serif" w:hAnsi="Times New Roman;serif"/>
                  <w:b w:val="false"/>
                  <w:color w:val="000080"/>
                  <w:sz w:val="18"/>
                  <w:u w:val="single"/>
                </w:rPr>
                <w:t>s stockholders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11/20/2025</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18"/>
                  <w:u w:val="single"/>
                </w:rPr>
                <w:t>Amendment No. 1 to Registration Rights Agreement, dated May 14, 2026</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99.2</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5/14/2026</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10.1</w:t>
            </w:r>
            <w:r>
              <w:rPr>
                <w:color w:val="000000"/>
              </w:rPr>
              <w:t>†</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18"/>
                  <w:u w:val="single"/>
                </w:rPr>
                <w:t>Release and Separation Agreement, dated as of March 29, 2026, by and between Gemini Space Station, Inc. and Dan Chen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10.18</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3/31/2026</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10.2</w:t>
            </w:r>
            <w:r>
              <w:rPr>
                <w:color w:val="000000"/>
              </w:rPr>
              <w:t>†</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18"/>
                  <w:u w:val="single"/>
                </w:rPr>
                <w:t>Release and Separation Agreement, dated as of March 29, 2026, by and between Gemini Space Station, Inc. and Marshall Beard</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10.19</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3/31/2026</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10.3</w:t>
            </w:r>
            <w:r>
              <w:rPr>
                <w:color w:val="000000"/>
              </w:rPr>
              <w:t>†</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18"/>
                  <w:u w:val="single"/>
                </w:rPr>
                <w:t>Release and Separation Agreement, dated as of March 29, 2026, by and between Gemini Space Station, Inc. and Tyler Meade</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10.20</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3/31/2026</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18"/>
                  <w:u w:val="single"/>
                </w:rPr>
                <w:t>Securities Purchase Agreement, dated as of May 14, 2026, by and between Gemini Space Station, Inc. and Winklevoss Capital Fund, LLC</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5/14/2026</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527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527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527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527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527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16"/>
        </w:rPr>
        <w:t>Indicates a management contract or compensatory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6252"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222"/>
        <w:gridCol w:w="1222"/>
        <w:gridCol w:w="174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Gemini Space Station,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Tyler Winklevoss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Tyler Winklevoss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Danijela Stojanovic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Danijela Stojanovic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13a-14(a) OR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Tyler Winklevoss,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Gemini Space Station,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b.[Reserved]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tbl>
      <w:tblPr>
        <w:tblW w:w="6252"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224"/>
        <w:gridCol w:w="1224"/>
        <w:gridCol w:w="173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Tyler Winklevoss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Tyler Winklevoss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13a-14(a) OR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Danijela Stojanovic,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Gemini Space Station,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b.[Reserved]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tbl>
      <w:tblPr>
        <w:tblW w:w="470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772"/>
        <w:gridCol w:w="772"/>
        <w:gridCol w:w="109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Danijela Stojanovic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Danijela Stojanovic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Gemini Space Station, Inc., a Nevada corporation (the “Company”), for the quarter ended March 31, 2026, as filed with the Securities and Exchange Commission on the date hereof (the “Report”), Tyler Winklevoss, Chief Executive Officer of the Company, hereby certifies, pursuant to 18 U.S.C. Section 1350, as adopted pursuant to Section 906 of the Sarbanes-Oxley Act of 2002, that, to the best of his knowledge: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6252"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224"/>
        <w:gridCol w:w="1224"/>
        <w:gridCol w:w="173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Tyler Winklevoss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Tyler Winklevoss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Gemini Space Station, Inc., a Nevada corporation (the “Company”), for the quarter ended March 31, 2026, as filed with the Securities and Exchange Commission on the date hereof (the “Report”), Danijela Stojanovic, Interim Chief Financial Officer of the Company, hereby certifies, pursuant to 18 U.S.C. Section 1350, as adopted pursuant to Section 906 of the Sarbanes-Oxley Act of 2002, that, to the best of his knowledge: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470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772"/>
        <w:gridCol w:w="772"/>
        <w:gridCol w:w="109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Danijela Stojanovic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Danijela Stojanovic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both"/>
        <w:rPr/>
      </w:pPr>
      <w:r>
        <w:rPr/>
      </w:r>
    </w:p>
    <w:p>
      <w:pPr>
        <w:pStyle w:val="TextBody"/>
        <w:bidi w:val="0"/>
        <w:ind w:left="0" w:right="0" w:firstLine="72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5592/000110465925090073/tm255912d37_ex3-1.htm" TargetMode="External"/><Relationship Id="rId3" Type="http://schemas.openxmlformats.org/officeDocument/2006/relationships/hyperlink" Target="https://www.sec.gov/Archives/edgar/data/2055592/000110465925090073/tm255912d37_ex3-2.htm" TargetMode="External"/><Relationship Id="rId4" Type="http://schemas.openxmlformats.org/officeDocument/2006/relationships/hyperlink" Target="https://www.sec.gov/Archives/edgar/data/2055592/000110465925079323/tm255912d13_ex4-1.htm" TargetMode="External"/><Relationship Id="rId5" Type="http://schemas.openxmlformats.org/officeDocument/2006/relationships/hyperlink" Target="https://www.sec.gov/Archives/edgar/data/2055592/000205559225000009/exhibit42gemini-regrightsa.htm" TargetMode="External"/><Relationship Id="rId6" Type="http://schemas.openxmlformats.org/officeDocument/2006/relationships/hyperlink" Target="https://www.sec.gov/Archives/edgar/data/2055592/000205559225000009/exhibit42gemini-regrightsa.htm" TargetMode="External"/><Relationship Id="rId7" Type="http://schemas.openxmlformats.org/officeDocument/2006/relationships/hyperlink" Target="https://www.sec.gov/Archives/edgar/data/2055592/000205559225000009/exhibit42gemini-regrightsa.htm" TargetMode="External"/><Relationship Id="rId8" Type="http://schemas.openxmlformats.org/officeDocument/2006/relationships/hyperlink" Target="https://www.sec.gov/Archives/edgar/data/2055592/000205559225000009/exhibit42gemini-regrightsa.htm" TargetMode="External"/><Relationship Id="rId9" Type="http://schemas.openxmlformats.org/officeDocument/2006/relationships/hyperlink" Target="https://www.sec.gov/Archives/edgar/data/2055592/000205559225000009/exhibit42gemini-regrightsa.htm" TargetMode="External"/><Relationship Id="rId10" Type="http://schemas.openxmlformats.org/officeDocument/2006/relationships/hyperlink" Target="https://www.sec.gov/Archives/edgar/data/2055592/000205559225000009/exhibit42gemini-regrightsa.htm" TargetMode="External"/><Relationship Id="rId11" Type="http://schemas.openxmlformats.org/officeDocument/2006/relationships/hyperlink" Target="https://www.sec.gov/Archives/edgar/data/2055592/000205559226000048/gemini-amendmenttoregistra.htm" TargetMode="External"/><Relationship Id="rId12" Type="http://schemas.openxmlformats.org/officeDocument/2006/relationships/hyperlink" Target="https://www.sec.gov/Archives/edgar/data/2055592/000205559226000026/danchenseparationagreement.htm" TargetMode="External"/><Relationship Id="rId13" Type="http://schemas.openxmlformats.org/officeDocument/2006/relationships/hyperlink" Target="https://www.sec.gov/Archives/edgar/data/2055592/000205559226000026/marshallbeardseparationagr.htm" TargetMode="External"/><Relationship Id="rId14" Type="http://schemas.openxmlformats.org/officeDocument/2006/relationships/hyperlink" Target="https://www.sec.gov/Archives/edgar/data/2055592/000205559226000026/tylermeadeseparationagreem.htm" TargetMode="External"/><Relationship Id="rId15" Type="http://schemas.openxmlformats.org/officeDocument/2006/relationships/hyperlink" Target="https://www.sec.gov/Archives/edgar/data/2055592/000205559226000048/gemini-spamay2026exhibit.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81435</Words>
  <Characters>459444</Characters>
  <CharactersWithSpaces>537898</CharactersWithSpaces>
  <Paragraphs>4888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